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740"/>
          <w:tab w:val="center" w:pos="4863"/>
        </w:tabs>
        <w:spacing w:line="360" w:lineRule="auto"/>
        <w:ind w:firstLine="0" w:firstLineChars="0"/>
        <w:jc w:val="center"/>
        <w:rPr>
          <w:rFonts w:ascii="宋体" w:hAnsi="宋体" w:cs="宋体"/>
          <w:b/>
          <w:bCs/>
          <w:color w:val="auto"/>
          <w:spacing w:val="20"/>
          <w:sz w:val="44"/>
          <w:szCs w:val="44"/>
          <w:highlight w:val="none"/>
        </w:rPr>
      </w:pPr>
      <w:r>
        <w:rPr>
          <w:rFonts w:hint="eastAsia" w:ascii="宋体" w:hAnsi="宋体" w:cs="宋体"/>
          <w:b/>
          <w:bCs/>
          <w:color w:val="auto"/>
          <w:spacing w:val="20"/>
          <w:sz w:val="36"/>
          <w:szCs w:val="36"/>
          <w:highlight w:val="none"/>
        </w:rPr>
        <w:t>招标公告</w:t>
      </w:r>
    </w:p>
    <w:p>
      <w:pPr>
        <w:spacing w:line="360" w:lineRule="auto"/>
        <w:ind w:firstLine="752" w:firstLineChars="300"/>
        <w:jc w:val="right"/>
        <w:rPr>
          <w:rFonts w:ascii="宋体" w:hAnsi="宋体" w:cs="宋体"/>
          <w:b/>
          <w:bCs/>
          <w:color w:val="auto"/>
          <w:spacing w:val="20"/>
          <w:szCs w:val="21"/>
          <w:highlight w:val="none"/>
        </w:rPr>
      </w:pPr>
      <w:bookmarkStart w:id="0" w:name="_Hlk133508025"/>
      <w:r>
        <w:rPr>
          <w:rFonts w:hint="eastAsia" w:ascii="宋体" w:hAnsi="宋体" w:cs="宋体"/>
          <w:b/>
          <w:bCs/>
          <w:color w:val="auto"/>
          <w:spacing w:val="20"/>
          <w:szCs w:val="21"/>
          <w:highlight w:val="none"/>
        </w:rPr>
        <w:t>GC-DGSBZB07A-2024</w:t>
      </w:r>
    </w:p>
    <w:bookmarkEnd w:id="0"/>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为适应公司发展需要，满足低速柴油机日常生产和试验要求，现特向社会公开招标</w:t>
      </w:r>
      <w:bookmarkStart w:id="1" w:name="_Hlk182730359"/>
      <w:r>
        <w:rPr>
          <w:rFonts w:hint="eastAsia" w:ascii="宋体" w:hAnsi="宋体" w:cs="宋体"/>
          <w:color w:val="auto"/>
          <w:spacing w:val="20"/>
          <w:sz w:val="24"/>
          <w:szCs w:val="24"/>
          <w:highlight w:val="none"/>
          <w:u w:val="single"/>
        </w:rPr>
        <w:t>低速柴油机辅机系统工艺设备采购和安装调试项目</w:t>
      </w:r>
      <w:bookmarkEnd w:id="1"/>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一．项目简介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我公司是华南地区最大的船用柴油发动机生产企业，产品有各款中、低速柴油机,其广泛应用于各种船舶，可用作船舶主推进带螺旋桨，主推进发电机组，辅助发电机组，以及驱动各种工程设备。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本项目属于</w:t>
      </w:r>
      <w:r>
        <w:rPr>
          <w:rFonts w:hint="eastAsia" w:ascii="宋体" w:hAnsi="宋体" w:cs="宋体"/>
          <w:color w:val="auto"/>
          <w:spacing w:val="20"/>
          <w:sz w:val="24"/>
          <w:szCs w:val="24"/>
          <w:highlight w:val="none"/>
          <w:u w:val="single"/>
        </w:rPr>
        <w:t>广州工控大湾区现代高端装备研发生产基地项目（二期）低速柴油机辅机系统工艺设备采购和安装调试项目</w:t>
      </w:r>
      <w:r>
        <w:rPr>
          <w:rFonts w:hint="eastAsia" w:ascii="宋体" w:hAnsi="宋体" w:cs="宋体"/>
          <w:color w:val="auto"/>
          <w:spacing w:val="20"/>
          <w:sz w:val="24"/>
          <w:szCs w:val="24"/>
          <w:highlight w:val="none"/>
        </w:rPr>
        <w:t>。根据广州工控大湾区现代高端装备研发生产基地项目（二期）的生产要求，需要建设两套满足低速柴油机出厂试验的辅机系统（A、B两套系统）。</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有意参与本项目投标的且需要本项目有关更详细资料作投标技术施工方案、报价、投标书编写的投标人，可以向本项目招标联系人进行联系索取，招标联系人根据初步核实的投标人资质提供更详细资料。</w:t>
      </w:r>
    </w:p>
    <w:p>
      <w:pPr>
        <w:spacing w:line="360" w:lineRule="auto"/>
        <w:ind w:firstLine="0" w:firstLineChars="0"/>
        <w:rPr>
          <w:rFonts w:ascii="宋体" w:hAnsi="宋体" w:cs="宋体"/>
          <w:color w:val="auto"/>
          <w:sz w:val="24"/>
          <w:highlight w:val="none"/>
        </w:rPr>
      </w:pPr>
      <w:r>
        <w:rPr>
          <w:rFonts w:hint="eastAsia" w:ascii="宋体" w:hAnsi="宋体" w:cs="宋体"/>
          <w:b/>
          <w:bCs/>
          <w:color w:val="auto"/>
          <w:spacing w:val="20"/>
          <w:sz w:val="28"/>
          <w:szCs w:val="28"/>
          <w:highlight w:val="none"/>
        </w:rPr>
        <w:t>二．项目招标的名称、编号、购置清单、技术参数：</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1、招标项目名称:</w:t>
      </w:r>
    </w:p>
    <w:p>
      <w:pPr>
        <w:spacing w:line="360" w:lineRule="auto"/>
        <w:ind w:firstLine="0" w:firstLineChars="0"/>
        <w:rPr>
          <w:rFonts w:ascii="宋体" w:hAnsi="宋体" w:cs="宋体"/>
          <w:color w:val="auto"/>
          <w:spacing w:val="20"/>
          <w:sz w:val="24"/>
          <w:szCs w:val="24"/>
          <w:highlight w:val="none"/>
          <w:u w:val="single"/>
        </w:rPr>
      </w:pPr>
      <w:r>
        <w:rPr>
          <w:rFonts w:hint="eastAsia" w:ascii="宋体" w:hAnsi="宋体" w:cs="宋体"/>
          <w:color w:val="auto"/>
          <w:spacing w:val="20"/>
          <w:sz w:val="24"/>
          <w:szCs w:val="24"/>
          <w:highlight w:val="none"/>
          <w:u w:val="single"/>
        </w:rPr>
        <w:t>广州工控大湾区现代高端装备研发生产基地项目（二期）低速柴油机辅机系统工艺设备采购和安装调试项目</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2、招标编号:</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GC-DGSBZB07-2024</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3、招标项目主要内容</w:t>
      </w:r>
    </w:p>
    <w:p>
      <w:pPr>
        <w:adjustRightInd w:val="0"/>
        <w:snapToGrid w:val="0"/>
        <w:spacing w:line="360" w:lineRule="auto"/>
        <w:ind w:firstLine="480"/>
        <w:rPr>
          <w:rFonts w:ascii="宋体" w:hAnsi="宋体" w:cs="宋体"/>
          <w:color w:val="auto"/>
          <w:kern w:val="21"/>
          <w:sz w:val="24"/>
          <w:szCs w:val="24"/>
          <w:highlight w:val="none"/>
        </w:rPr>
      </w:pPr>
      <w:r>
        <w:rPr>
          <w:rFonts w:hint="eastAsia" w:ascii="宋体" w:hAnsi="宋体" w:cs="宋体"/>
          <w:color w:val="auto"/>
          <w:kern w:val="21"/>
          <w:sz w:val="24"/>
          <w:szCs w:val="24"/>
          <w:highlight w:val="none"/>
        </w:rPr>
        <w:t>本项目为交钥匙工程项目,本项目方案和总体图纸、设备、主要管路、主要线缆清单等已由本项目负责的设计院设计，并经多次会审修改，具备招标条件，但施工细化图纸、部分辅助材料包括支架、法兰、螺栓等需要投标方根据图纸和现场实际，并沟通本项目负责的设计院确定补充，由投标方负责本项目各系统的深化设计并组织实施；本项目还包括：</w:t>
      </w:r>
      <w:r>
        <w:rPr>
          <w:rFonts w:hint="eastAsia" w:ascii="宋体" w:hAnsi="宋体" w:cs="宋体"/>
          <w:color w:val="auto"/>
          <w:sz w:val="24"/>
          <w:szCs w:val="24"/>
          <w:highlight w:val="none"/>
        </w:rPr>
        <w:t>低速机安装平台供货（该平台的设计图示意图由招标人提供，投标人负责深化设计）、低速机线条底座安装调平、便携式颗粒度分析仪供货、控制室装修和设备基础等配套土建内容</w:t>
      </w:r>
      <w:r>
        <w:rPr>
          <w:rFonts w:hint="eastAsia" w:ascii="宋体" w:hAnsi="宋体" w:cs="宋体"/>
          <w:color w:val="auto"/>
          <w:kern w:val="21"/>
          <w:sz w:val="24"/>
          <w:szCs w:val="24"/>
          <w:highlight w:val="none"/>
        </w:rPr>
        <w:t>。投标方负责与之相关的包括但不限于表1中各细分项目涉及的所有设备的采购、制作、运输、安装、雇员、调试、验收、培训、售后服务等项目，直至本项目交付招标人正常使用。</w:t>
      </w:r>
    </w:p>
    <w:p>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kern w:val="21"/>
          <w:sz w:val="24"/>
          <w:szCs w:val="24"/>
          <w:highlight w:val="none"/>
        </w:rPr>
        <w:t>本文件提出的是最低限度的技术要求，并未对一切技术细节做出详细规定，也未充分引述有关标准和规范的条文，投标方需保证提供符合本技术要求和相关的国际国内标准的优质产品及其相应服务。投标方需确保集成验证系统完整，满足招标方低速柴油机装配试验需求。本技术要求与有关标准、规范中的要求相冲突时，投标方应按其中要求最高者执行。</w:t>
      </w:r>
      <w:bookmarkStart w:id="2" w:name="_Ref28754"/>
    </w:p>
    <w:p>
      <w:pPr>
        <w:adjustRightInd w:val="0"/>
        <w:snapToGrid w:val="0"/>
        <w:spacing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表</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SEQ 表 \* ARABIC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w:t>
      </w:r>
      <w:r>
        <w:rPr>
          <w:rFonts w:hint="eastAsia" w:ascii="宋体" w:hAnsi="宋体" w:cs="宋体"/>
          <w:color w:val="auto"/>
          <w:szCs w:val="21"/>
          <w:highlight w:val="none"/>
        </w:rPr>
        <w:fldChar w:fldCharType="end"/>
      </w:r>
      <w:bookmarkEnd w:id="2"/>
      <w:r>
        <w:rPr>
          <w:rFonts w:hint="eastAsia" w:ascii="宋体" w:hAnsi="宋体" w:cs="宋体"/>
          <w:color w:val="auto"/>
          <w:szCs w:val="21"/>
          <w:highlight w:val="none"/>
        </w:rPr>
        <w:t xml:space="preserve"> 供货范围</w:t>
      </w:r>
    </w:p>
    <w:tbl>
      <w:tblPr>
        <w:tblW w:w="87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26"/>
        <w:gridCol w:w="1261"/>
        <w:gridCol w:w="4951"/>
        <w:gridCol w:w="101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b/>
                <w:bCs/>
                <w:color w:val="auto"/>
                <w:sz w:val="18"/>
                <w:szCs w:val="18"/>
                <w:highlight w:val="none"/>
              </w:rPr>
            </w:pPr>
            <w:bookmarkStart w:id="3" w:name="_Hlk182850781"/>
            <w:r>
              <w:rPr>
                <w:rFonts w:hint="eastAsia" w:ascii="宋体" w:hAnsi="宋体" w:cs="宋体"/>
                <w:b/>
                <w:bCs/>
                <w:color w:val="auto"/>
                <w:kern w:val="0"/>
                <w:sz w:val="18"/>
                <w:szCs w:val="18"/>
                <w:highlight w:val="none"/>
              </w:rPr>
              <w:t>序号</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名 称</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组成及主要技术指标</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数量（套）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燃油系统</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称重油箱、供油泵，考虑两级过滤和磁性过滤，收集回油；泄漏油单独收集；油箱带称重功能；燃油串油系统；</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润滑油系统</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主机润滑油箱容积满足润滑要求，总流量不低于900m³/h，设置多级过滤和自动反冲系统，含加热系统、冷却系统、分油机。两套系统可进行驳油循环。</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缸套润滑油系统</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40" w:lineRule="auto"/>
              <w:ind w:firstLine="0" w:firstLineChars="0"/>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气缸油系统主要实现气缸油供油、储存及温度控制。 主要设备包括：气缸油储存箱、气缸油供油泵、加热装置、过滤器、高位气缸油油箱和流量计等。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柴油机冷却水系统</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满足本期01~04台位系统总设计流量为Q=1500m</w:t>
            </w:r>
            <w:r>
              <w:rPr>
                <w:rFonts w:hint="eastAsia" w:ascii="宋体" w:hAnsi="宋体" w:cs="宋体"/>
                <w:color w:val="auto"/>
                <w:kern w:val="0"/>
                <w:sz w:val="18"/>
                <w:szCs w:val="18"/>
                <w:highlight w:val="none"/>
                <w:eastAsianLayout w:id="4" w:combine="1"/>
              </w:rPr>
              <w:t xml:space="preserve">3  </w:t>
            </w:r>
            <w:r>
              <w:rPr>
                <w:rFonts w:hint="eastAsia" w:ascii="宋体" w:hAnsi="宋体" w:cs="宋体"/>
                <w:color w:val="auto"/>
                <w:kern w:val="0"/>
                <w:sz w:val="18"/>
                <w:szCs w:val="18"/>
                <w:highlight w:val="none"/>
              </w:rPr>
              <w:t>/h，采用开式系统，变频水泵。</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测功器冷却水系统</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满足2台测功器运行要求，总设计流量为Q=1600m</w:t>
            </w:r>
            <w:r>
              <w:rPr>
                <w:rFonts w:hint="eastAsia" w:ascii="宋体" w:hAnsi="宋体" w:cs="宋体"/>
                <w:color w:val="auto"/>
                <w:kern w:val="0"/>
                <w:sz w:val="18"/>
                <w:szCs w:val="18"/>
                <w:highlight w:val="none"/>
                <w:eastAsianLayout w:id="5" w:combine="1"/>
              </w:rPr>
              <w:t xml:space="preserve">3  </w:t>
            </w:r>
            <w:r>
              <w:rPr>
                <w:rFonts w:hint="eastAsia" w:ascii="宋体" w:hAnsi="宋体" w:cs="宋体"/>
                <w:color w:val="auto"/>
                <w:kern w:val="0"/>
                <w:sz w:val="18"/>
                <w:szCs w:val="18"/>
                <w:highlight w:val="none"/>
              </w:rPr>
              <w:t>/h，采用式冷却塔</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排气系统</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用于尾气排放和处理，包括排气管道、膨胀节、阀门等，尾气通过处理后排放，包括SCR系统，尿素储存添加系统，燃油加注系统，加注单元、驳运系统、尿素储存舱等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配套土建工程</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所有设备土建基础的浇筑（现有地基状况请投标人向招标人具体了解），墙体开孔、封堵；主控制室、卫生间、辅机控制室的装修。</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控制系统</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试验台位柴油机及测功器、公共系统数据（包含温度、压力、液位、流量、泵运行状态指示等信号，发动机、SCR 系统、测功器等设 备及系统通讯信号）实时监测、报警、记录及打印功能，可同时满足多个试验台位柴油机试验需求</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低压配电系统</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满足试验相关设备供配电，场地提供 AC400V 50HZ电源，具体用电量由投标人设计核算。</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70"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kern w:val="0"/>
                <w:sz w:val="18"/>
                <w:szCs w:val="18"/>
                <w:highlight w:val="none"/>
              </w:rPr>
            </w:pPr>
            <w:r>
              <w:rPr>
                <w:rFonts w:hint="eastAsia" w:ascii="宋体" w:hAnsi="宋体" w:cs="宋体"/>
                <w:color w:val="auto"/>
                <w:sz w:val="18"/>
                <w:szCs w:val="18"/>
                <w:highlight w:val="none"/>
              </w:rPr>
              <w:t>低速机安装平台</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kern w:val="0"/>
                <w:sz w:val="18"/>
                <w:szCs w:val="18"/>
                <w:highlight w:val="none"/>
              </w:rPr>
            </w:pPr>
            <w:r>
              <w:rPr>
                <w:rFonts w:hint="eastAsia" w:ascii="宋体" w:hAnsi="宋体"/>
                <w:color w:val="auto"/>
                <w:sz w:val="18"/>
                <w:szCs w:val="18"/>
                <w:highlight w:val="none"/>
              </w:rPr>
              <w:t>该</w:t>
            </w:r>
            <w:r>
              <w:rPr>
                <w:rFonts w:hint="eastAsia"/>
                <w:color w:val="auto"/>
                <w:sz w:val="18"/>
                <w:szCs w:val="18"/>
                <w:highlight w:val="none"/>
              </w:rPr>
              <w:t>安装</w:t>
            </w:r>
            <w:r>
              <w:rPr>
                <w:rFonts w:hint="eastAsia" w:ascii="宋体" w:hAnsi="宋体"/>
                <w:color w:val="auto"/>
                <w:sz w:val="18"/>
                <w:szCs w:val="18"/>
                <w:highlight w:val="none"/>
              </w:rPr>
              <w:t>平台的设计示意图由招标人提供，投标人负责深化设计，投标人应对由于该平台的设计、工艺、材料、质量缺陷等原因导致的任何问题负责</w:t>
            </w:r>
            <w:r>
              <w:rPr>
                <w:rFonts w:hint="eastAsia"/>
                <w:color w:val="auto"/>
                <w:sz w:val="18"/>
                <w:szCs w:val="18"/>
                <w:highlight w:val="none"/>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Cs w:val="21"/>
                <w:highlight w:val="none"/>
              </w:rPr>
            </w:pPr>
            <w:r>
              <w:rPr>
                <w:rFonts w:hint="eastAsia" w:ascii="宋体" w:hAnsi="宋体" w:cs="宋体"/>
                <w:color w:val="auto"/>
                <w:sz w:val="18"/>
                <w:szCs w:val="18"/>
                <w:highlight w:val="none"/>
              </w:rPr>
              <w:t>低速机线条底座安装调平</w:t>
            </w:r>
          </w:p>
        </w:tc>
        <w:tc>
          <w:tcPr>
            <w:tcW w:w="4951" w:type="dxa"/>
            <w:tcBorders>
              <w:top w:val="single" w:color="000000" w:sz="4" w:space="0"/>
              <w:left w:val="single" w:color="000000" w:sz="4" w:space="0"/>
              <w:bottom w:val="single" w:color="000000" w:sz="4" w:space="0"/>
              <w:right w:val="single" w:color="000000" w:sz="4" w:space="0"/>
            </w:tcBorders>
            <w:vAlign w:val="center"/>
          </w:tcPr>
          <w:p>
            <w:pPr>
              <w:pStyle w:val="13"/>
              <w:spacing w:before="0" w:beforeAutospacing="0" w:after="0" w:line="360" w:lineRule="auto"/>
              <w:ind w:firstLine="0" w:firstLineChars="0"/>
              <w:jc w:val="both"/>
              <w:rPr>
                <w:color w:val="auto"/>
                <w:sz w:val="18"/>
                <w:szCs w:val="18"/>
                <w:highlight w:val="none"/>
              </w:rPr>
            </w:pPr>
            <w:r>
              <w:rPr>
                <w:rFonts w:hint="eastAsia" w:cs="Times New Roman"/>
                <w:color w:val="auto"/>
                <w:kern w:val="2"/>
                <w:sz w:val="18"/>
                <w:szCs w:val="18"/>
                <w:highlight w:val="none"/>
              </w:rPr>
              <w:t>投标人负责低速机线条底座（包括202条小线条座和212条大线条座）的安装及调平工作（含粗调和精调）。调平后的线条座平面度等形位公差须满足图纸要求。</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便携式颗粒度分析仪</w:t>
            </w:r>
          </w:p>
        </w:tc>
        <w:tc>
          <w:tcPr>
            <w:tcW w:w="4951" w:type="dxa"/>
            <w:tcBorders>
              <w:top w:val="single" w:color="000000" w:sz="4" w:space="0"/>
              <w:left w:val="single" w:color="000000" w:sz="4" w:space="0"/>
              <w:bottom w:val="single" w:color="000000" w:sz="4" w:space="0"/>
              <w:right w:val="single" w:color="000000" w:sz="4" w:space="0"/>
            </w:tcBorders>
            <w:vAlign w:val="center"/>
          </w:tcPr>
          <w:p>
            <w:pPr>
              <w:pStyle w:val="13"/>
              <w:spacing w:before="0" w:beforeAutospacing="0" w:after="0" w:line="360" w:lineRule="auto"/>
              <w:ind w:firstLine="0" w:firstLineChars="0"/>
              <w:jc w:val="both"/>
              <w:rPr>
                <w:rFonts w:cs="Times New Roman"/>
                <w:color w:val="auto"/>
                <w:kern w:val="2"/>
                <w:sz w:val="18"/>
                <w:szCs w:val="18"/>
                <w:highlight w:val="none"/>
              </w:rPr>
            </w:pPr>
            <w:r>
              <w:rPr>
                <w:rFonts w:hint="eastAsia" w:cs="Times New Roman"/>
                <w:color w:val="auto"/>
                <w:kern w:val="2"/>
                <w:sz w:val="18"/>
                <w:szCs w:val="18"/>
                <w:highlight w:val="none"/>
              </w:rPr>
              <w:t>投标人根据招标人的要求，采购一台便携式油液颗粒度分析仪，用于油品分析，保证低速机高压液压油进机要求油品清洁度达到NAS8级，检测粒径范围：5μm-100μm，分析仪为触摸屏设计，采用光阻法（遮光法）原理，高精密传感器保证高分辨率力和准确性，具备离线检测和在线检测功能。</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bl>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三.</w:t>
      </w:r>
      <w:bookmarkStart w:id="4" w:name="_Toc903468681"/>
      <w:bookmarkStart w:id="5" w:name="_Toc32667"/>
      <w:bookmarkStart w:id="6" w:name="_Toc12965"/>
      <w:bookmarkStart w:id="7" w:name="_Toc959172989"/>
      <w:bookmarkStart w:id="8" w:name="_Toc26931"/>
      <w:bookmarkStart w:id="9" w:name="_Toc19956"/>
      <w:bookmarkStart w:id="10" w:name="_Toc6024"/>
      <w:bookmarkStart w:id="11" w:name="_Toc1349210716"/>
      <w:bookmarkStart w:id="12" w:name="_Toc6386"/>
      <w:bookmarkStart w:id="13" w:name="_Toc576827887"/>
      <w:bookmarkStart w:id="14" w:name="_Toc555854945"/>
      <w:bookmarkStart w:id="15" w:name="_Toc29628"/>
      <w:bookmarkStart w:id="16" w:name="_Toc1087"/>
      <w:bookmarkStart w:id="17" w:name="_Toc1709287741"/>
      <w:bookmarkStart w:id="18" w:name="_Toc1055"/>
      <w:bookmarkStart w:id="19" w:name="_Toc2747"/>
      <w:r>
        <w:rPr>
          <w:rFonts w:hint="eastAsia" w:ascii="宋体" w:hAnsi="宋体" w:cs="宋体"/>
          <w:b/>
          <w:bCs/>
          <w:color w:val="auto"/>
          <w:spacing w:val="20"/>
          <w:sz w:val="28"/>
          <w:szCs w:val="28"/>
          <w:highlight w:val="none"/>
        </w:rPr>
        <w:t>项目技术要求</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spacing w:line="360" w:lineRule="auto"/>
        <w:ind w:firstLine="0" w:firstLineChars="0"/>
        <w:rPr>
          <w:rFonts w:ascii="宋体" w:hAnsi="宋体"/>
          <w:b/>
          <w:bCs/>
          <w:color w:val="auto"/>
          <w:sz w:val="24"/>
          <w:szCs w:val="24"/>
          <w:highlight w:val="none"/>
        </w:rPr>
      </w:pPr>
      <w:bookmarkStart w:id="20" w:name="_Toc1170429186"/>
      <w:bookmarkStart w:id="21" w:name="_Toc28133"/>
      <w:bookmarkStart w:id="22" w:name="_Toc29649"/>
      <w:bookmarkStart w:id="23" w:name="_Toc4640136"/>
      <w:bookmarkStart w:id="24" w:name="_Toc15683"/>
      <w:bookmarkStart w:id="25" w:name="_Toc72082982"/>
      <w:bookmarkStart w:id="26" w:name="_Toc32366"/>
      <w:bookmarkStart w:id="27" w:name="_Toc12856"/>
      <w:bookmarkStart w:id="28" w:name="_Toc1035828458"/>
      <w:bookmarkStart w:id="29" w:name="_Toc295772591"/>
      <w:bookmarkStart w:id="30" w:name="_Toc31597"/>
      <w:bookmarkStart w:id="31" w:name="_Toc23676"/>
      <w:bookmarkStart w:id="32" w:name="_Toc21367"/>
      <w:bookmarkStart w:id="33" w:name="_Toc11788"/>
      <w:bookmarkStart w:id="34" w:name="_Toc72750713"/>
      <w:bookmarkStart w:id="35" w:name="_Toc29412"/>
      <w:r>
        <w:rPr>
          <w:rFonts w:hint="eastAsia" w:ascii="宋体" w:hAnsi="宋体"/>
          <w:b/>
          <w:bCs/>
          <w:color w:val="auto"/>
          <w:sz w:val="24"/>
          <w:szCs w:val="24"/>
          <w:highlight w:val="none"/>
        </w:rPr>
        <w:t xml:space="preserve"> 1、总体要求</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ind w:firstLine="240" w:firstLineChars="100"/>
        <w:rPr>
          <w:rFonts w:ascii="宋体" w:hAnsi="宋体"/>
          <w:color w:val="auto"/>
          <w:sz w:val="24"/>
          <w:szCs w:val="24"/>
          <w:highlight w:val="none"/>
        </w:rPr>
      </w:pPr>
      <w:bookmarkStart w:id="36" w:name="_Toc28988"/>
      <w:r>
        <w:rPr>
          <w:rFonts w:hint="eastAsia" w:ascii="宋体" w:hAnsi="宋体"/>
          <w:color w:val="auto"/>
          <w:sz w:val="24"/>
          <w:szCs w:val="24"/>
          <w:highlight w:val="none"/>
        </w:rPr>
        <w:t>(1)各系统设备要引入可靠性设计和制造技术，选用寿命长，可靠性高、故障率低的成件和外购件。</w:t>
      </w:r>
      <w:bookmarkEnd w:id="36"/>
      <w:bookmarkStart w:id="37" w:name="_Toc27444"/>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(2)在辅机系统控制台设计时要留有一定的空间，以便扩展自动控制功能时使用。</w:t>
      </w:r>
      <w:bookmarkEnd w:id="37"/>
    </w:p>
    <w:p>
      <w:pPr>
        <w:spacing w:line="360" w:lineRule="auto"/>
        <w:ind w:firstLine="240" w:firstLineChars="100"/>
        <w:rPr>
          <w:rFonts w:ascii="宋体" w:hAnsi="宋体"/>
          <w:color w:val="auto"/>
          <w:sz w:val="24"/>
          <w:szCs w:val="24"/>
          <w:highlight w:val="none"/>
        </w:rPr>
      </w:pPr>
      <w:bookmarkStart w:id="38" w:name="_Toc11782"/>
      <w:r>
        <w:rPr>
          <w:rFonts w:hint="eastAsia" w:ascii="宋体" w:hAnsi="宋体"/>
          <w:color w:val="auto"/>
          <w:sz w:val="24"/>
          <w:szCs w:val="24"/>
          <w:highlight w:val="none"/>
        </w:rPr>
        <w:t>(3)各系统设备位置布置紧凑，但相互之间必须按照人体的活动要求留有一定的空间，便于维修人员工作。</w:t>
      </w:r>
      <w:bookmarkEnd w:id="38"/>
    </w:p>
    <w:p>
      <w:pPr>
        <w:spacing w:line="360" w:lineRule="auto"/>
        <w:ind w:firstLine="240" w:firstLineChars="100"/>
        <w:rPr>
          <w:rFonts w:ascii="宋体" w:hAnsi="宋体"/>
          <w:color w:val="auto"/>
          <w:sz w:val="24"/>
          <w:szCs w:val="24"/>
          <w:highlight w:val="none"/>
        </w:rPr>
      </w:pPr>
      <w:bookmarkStart w:id="39" w:name="_Toc18518"/>
      <w:r>
        <w:rPr>
          <w:rFonts w:hint="eastAsia" w:ascii="宋体" w:hAnsi="宋体"/>
          <w:color w:val="auto"/>
          <w:sz w:val="24"/>
          <w:szCs w:val="24"/>
          <w:highlight w:val="none"/>
        </w:rPr>
        <w:t>(4)各系统管道排列整齐，横平竖直，尽量减少交错，管路弯接处须避免直角弯角，各管道的走向应一目了然。管路按压力、介质、流向进行分类标识。油滤、换向阀、加热器和换热器等部件，可集成在一起安装在专门设计的架子上。</w:t>
      </w:r>
      <w:bookmarkEnd w:id="39"/>
    </w:p>
    <w:p>
      <w:pPr>
        <w:spacing w:line="360" w:lineRule="auto"/>
        <w:ind w:firstLine="240" w:firstLineChars="100"/>
        <w:rPr>
          <w:rFonts w:ascii="宋体" w:hAnsi="宋体"/>
          <w:color w:val="auto"/>
          <w:sz w:val="24"/>
          <w:szCs w:val="24"/>
          <w:highlight w:val="none"/>
        </w:rPr>
      </w:pPr>
      <w:bookmarkStart w:id="40" w:name="_Toc12865"/>
      <w:r>
        <w:rPr>
          <w:rFonts w:hint="eastAsia" w:ascii="宋体" w:hAnsi="宋体"/>
          <w:color w:val="auto"/>
          <w:sz w:val="24"/>
          <w:szCs w:val="24"/>
          <w:highlight w:val="none"/>
        </w:rPr>
        <w:t>(5)</w:t>
      </w:r>
      <w:bookmarkStart w:id="41" w:name="_Hlk183625450"/>
      <w:r>
        <w:rPr>
          <w:rFonts w:hint="eastAsia" w:ascii="宋体" w:hAnsi="宋体"/>
          <w:color w:val="auto"/>
          <w:sz w:val="24"/>
          <w:szCs w:val="24"/>
          <w:highlight w:val="none"/>
        </w:rPr>
        <w:t>辅机系统</w:t>
      </w:r>
      <w:bookmarkEnd w:id="41"/>
      <w:r>
        <w:rPr>
          <w:rFonts w:hint="eastAsia" w:ascii="宋体" w:hAnsi="宋体"/>
          <w:color w:val="auto"/>
          <w:sz w:val="24"/>
          <w:szCs w:val="24"/>
          <w:highlight w:val="none"/>
        </w:rPr>
        <w:t>的布局和摆放应整齐有序、合理，通风良好，方便招标方试验人员的操作和试验设备的检修维护。</w:t>
      </w:r>
      <w:bookmarkEnd w:id="40"/>
    </w:p>
    <w:p>
      <w:pPr>
        <w:spacing w:line="360" w:lineRule="auto"/>
        <w:ind w:firstLine="199" w:firstLineChars="83"/>
        <w:rPr>
          <w:rFonts w:ascii="宋体" w:hAnsi="宋体"/>
          <w:color w:val="auto"/>
          <w:sz w:val="24"/>
          <w:szCs w:val="24"/>
          <w:highlight w:val="none"/>
        </w:rPr>
      </w:pPr>
      <w:bookmarkStart w:id="42" w:name="_Toc13642"/>
      <w:r>
        <w:rPr>
          <w:rFonts w:hint="eastAsia" w:ascii="宋体" w:hAnsi="宋体"/>
          <w:color w:val="auto"/>
          <w:sz w:val="24"/>
          <w:szCs w:val="24"/>
          <w:highlight w:val="none"/>
        </w:rPr>
        <w:t>(6)辅机系统建成后所有管路不允许出现跑、冒、滴、漏现象。</w:t>
      </w:r>
      <w:bookmarkEnd w:id="42"/>
    </w:p>
    <w:p>
      <w:pPr>
        <w:spacing w:line="360" w:lineRule="auto"/>
        <w:ind w:firstLine="199" w:firstLineChars="83"/>
        <w:rPr>
          <w:rFonts w:ascii="宋体" w:hAnsi="宋体"/>
          <w:color w:val="auto"/>
          <w:sz w:val="24"/>
          <w:szCs w:val="24"/>
          <w:highlight w:val="none"/>
        </w:rPr>
      </w:pPr>
      <w:bookmarkStart w:id="43" w:name="_Toc12650"/>
      <w:r>
        <w:rPr>
          <w:rFonts w:hint="eastAsia" w:ascii="宋体" w:hAnsi="宋体"/>
          <w:color w:val="auto"/>
          <w:sz w:val="24"/>
          <w:szCs w:val="24"/>
          <w:highlight w:val="none"/>
        </w:rPr>
        <w:t>(7)辅机系统的设备建设应符合国家厂房建设中的有关环保和安全规定。</w:t>
      </w:r>
      <w:bookmarkEnd w:id="43"/>
      <w:bookmarkStart w:id="44" w:name="_Toc11749"/>
      <w:bookmarkStart w:id="45" w:name="_Toc1676976278"/>
      <w:bookmarkStart w:id="46" w:name="_Toc3644"/>
      <w:bookmarkStart w:id="47" w:name="_Toc4788"/>
      <w:bookmarkStart w:id="48" w:name="_Toc1657"/>
      <w:bookmarkStart w:id="49" w:name="_Toc1497761809"/>
      <w:bookmarkStart w:id="50" w:name="_Toc17195"/>
      <w:bookmarkStart w:id="51" w:name="_Toc831336279"/>
      <w:bookmarkStart w:id="52" w:name="_Toc8812"/>
      <w:bookmarkStart w:id="53" w:name="_Toc16655"/>
      <w:bookmarkStart w:id="54" w:name="_Toc19997"/>
      <w:bookmarkStart w:id="55" w:name="_Toc1299303060"/>
      <w:bookmarkStart w:id="56" w:name="_Toc16266"/>
      <w:bookmarkStart w:id="57" w:name="_Toc180656768"/>
      <w:bookmarkStart w:id="58" w:name="_Toc1681275233"/>
      <w:bookmarkStart w:id="59" w:name="_Toc4874"/>
    </w:p>
    <w:p>
      <w:pPr>
        <w:spacing w:line="360" w:lineRule="auto"/>
        <w:ind w:firstLine="0" w:firstLineChars="0"/>
        <w:rPr>
          <w:rFonts w:ascii="宋体" w:hAnsi="宋体"/>
          <w:color w:val="auto"/>
          <w:sz w:val="24"/>
          <w:szCs w:val="24"/>
          <w:highlight w:val="none"/>
        </w:rPr>
      </w:pPr>
      <w:r>
        <w:rPr>
          <w:rFonts w:hint="eastAsia" w:ascii="宋体" w:hAnsi="宋体"/>
          <w:b/>
          <w:bCs/>
          <w:color w:val="auto"/>
          <w:sz w:val="24"/>
          <w:szCs w:val="24"/>
          <w:highlight w:val="none"/>
        </w:rPr>
        <w:t xml:space="preserve"> 2、 五性要求</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辅机系统应满足可靠性、维修性、安全性、保障性和测试性等要求。</w:t>
      </w:r>
    </w:p>
    <w:p>
      <w:pPr>
        <w:spacing w:line="360" w:lineRule="auto"/>
        <w:ind w:firstLine="0" w:firstLineChars="0"/>
        <w:rPr>
          <w:rFonts w:ascii="宋体" w:hAnsi="宋体"/>
          <w:color w:val="auto"/>
          <w:sz w:val="24"/>
          <w:szCs w:val="24"/>
          <w:highlight w:val="none"/>
        </w:rPr>
      </w:pPr>
      <w:bookmarkStart w:id="60" w:name="_Toc28492"/>
      <w:bookmarkStart w:id="61" w:name="_Toc11635"/>
      <w:bookmarkStart w:id="62" w:name="_Toc5911"/>
      <w:bookmarkStart w:id="63" w:name="_Toc2094963496"/>
      <w:bookmarkStart w:id="64" w:name="_Toc1577446755"/>
      <w:bookmarkStart w:id="65" w:name="_Toc1239"/>
      <w:bookmarkStart w:id="66" w:name="_Toc1971324168"/>
      <w:bookmarkStart w:id="67" w:name="_Toc965504382"/>
      <w:bookmarkStart w:id="68" w:name="_Toc6119"/>
      <w:bookmarkStart w:id="69" w:name="_Toc467698342"/>
      <w:bookmarkStart w:id="70" w:name="_Toc834030313"/>
      <w:bookmarkStart w:id="71" w:name="_Toc7163"/>
      <w:bookmarkStart w:id="72" w:name="_Toc18371"/>
      <w:bookmarkStart w:id="73" w:name="_Toc2253"/>
      <w:bookmarkStart w:id="74" w:name="_Toc23264"/>
      <w:bookmarkStart w:id="75" w:name="_Toc12486"/>
      <w:r>
        <w:rPr>
          <w:rFonts w:hint="eastAsia" w:ascii="宋体" w:hAnsi="宋体"/>
          <w:color w:val="auto"/>
          <w:sz w:val="24"/>
          <w:szCs w:val="24"/>
          <w:highlight w:val="none"/>
        </w:rPr>
        <w:t xml:space="preserve">   2.1 可靠性</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投标方使用的成件和外购件应实行商品三包原则，选用寿命长、安全可靠、故障率低的成件和外购件,并引入可靠性设计和制造 ,以保证辅机系统具备长期、稳定工作的能力；为提高或确保辅机系统的性能，确需采用新的关键（或重要）外购件时，必须经过充分调研和论证，必要时应经过验证试验或由生产厂家提供可靠的试验验证证明数据。</w:t>
      </w:r>
    </w:p>
    <w:p>
      <w:pPr>
        <w:spacing w:line="360" w:lineRule="auto"/>
        <w:ind w:firstLine="0" w:firstLineChars="0"/>
        <w:rPr>
          <w:rFonts w:ascii="宋体" w:hAnsi="宋体"/>
          <w:color w:val="auto"/>
          <w:sz w:val="24"/>
          <w:szCs w:val="24"/>
          <w:highlight w:val="none"/>
        </w:rPr>
      </w:pPr>
      <w:bookmarkStart w:id="76" w:name="_Toc22300"/>
      <w:bookmarkStart w:id="77" w:name="_Toc71011134"/>
      <w:bookmarkStart w:id="78" w:name="_Toc23862"/>
      <w:bookmarkStart w:id="79" w:name="_Toc1724725868"/>
      <w:bookmarkStart w:id="80" w:name="_Toc183380858"/>
      <w:bookmarkStart w:id="81" w:name="_Toc19080"/>
      <w:bookmarkStart w:id="82" w:name="_Toc4917"/>
      <w:bookmarkStart w:id="83" w:name="_Toc19415"/>
      <w:bookmarkStart w:id="84" w:name="_Toc11030"/>
      <w:bookmarkStart w:id="85" w:name="_Toc1045703778"/>
      <w:bookmarkStart w:id="86" w:name="_Toc15360"/>
      <w:bookmarkStart w:id="87" w:name="_Toc17139"/>
      <w:bookmarkStart w:id="88" w:name="_Toc577"/>
      <w:bookmarkStart w:id="89" w:name="_Toc2053926264"/>
      <w:bookmarkStart w:id="90" w:name="_Toc3505"/>
      <w:bookmarkStart w:id="91" w:name="_Toc164821296"/>
      <w:r>
        <w:rPr>
          <w:rFonts w:hint="eastAsia" w:ascii="宋体" w:hAnsi="宋体"/>
          <w:color w:val="auto"/>
          <w:sz w:val="24"/>
          <w:szCs w:val="24"/>
          <w:highlight w:val="none"/>
        </w:rPr>
        <w:t xml:space="preserve">   2.2 维修性</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2.2.1 各系统设备外型应美观大方，满足技术要求；而且应维护方便，更换油滤、散热器等有关零部件时易操作；为保证维修性，管道离地距离应不少于0.3米、离墙距离不少于0.5米；辅机系统整体管路布局应考虑维修检查时的人体通道设计。</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2.2.2 对于主要的部件必须提出使用期限； </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2.2.3 对于油滤滤芯、橡胶密封件等应明确使用寿命，确保到期更换。</w:t>
      </w:r>
    </w:p>
    <w:p>
      <w:pPr>
        <w:spacing w:line="360" w:lineRule="auto"/>
        <w:ind w:firstLine="240" w:firstLineChars="100"/>
        <w:rPr>
          <w:rFonts w:ascii="宋体" w:hAnsi="宋体"/>
          <w:strike/>
          <w:color w:val="auto"/>
          <w:sz w:val="24"/>
          <w:szCs w:val="24"/>
          <w:highlight w:val="none"/>
        </w:rPr>
      </w:pPr>
      <w:r>
        <w:rPr>
          <w:rFonts w:hint="eastAsia" w:ascii="宋体" w:hAnsi="宋体"/>
          <w:color w:val="auto"/>
          <w:sz w:val="24"/>
          <w:szCs w:val="24"/>
          <w:highlight w:val="none"/>
        </w:rPr>
        <w:t xml:space="preserve">  2.2.4 辅机系统应具有良好的维护、维修性；设备配件的更换、维护应方便、简便，操作性良好。</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2.2.5 应配置一定比例的易损件做为备件。</w:t>
      </w:r>
    </w:p>
    <w:p>
      <w:pPr>
        <w:spacing w:line="360" w:lineRule="auto"/>
        <w:ind w:firstLine="0" w:firstLineChars="0"/>
        <w:rPr>
          <w:rFonts w:ascii="宋体" w:hAnsi="宋体"/>
          <w:color w:val="auto"/>
          <w:sz w:val="24"/>
          <w:szCs w:val="24"/>
          <w:highlight w:val="none"/>
        </w:rPr>
      </w:pPr>
      <w:bookmarkStart w:id="92" w:name="_Toc21697"/>
      <w:bookmarkStart w:id="93" w:name="_Toc30373"/>
      <w:bookmarkStart w:id="94" w:name="_Toc3904"/>
      <w:bookmarkStart w:id="95" w:name="_Toc726246036"/>
      <w:bookmarkStart w:id="96" w:name="_Toc1123"/>
      <w:bookmarkStart w:id="97" w:name="_Toc189712671"/>
      <w:bookmarkStart w:id="98" w:name="_Toc32410"/>
      <w:bookmarkStart w:id="99" w:name="_Toc123858422"/>
      <w:bookmarkStart w:id="100" w:name="_Toc17944"/>
      <w:bookmarkStart w:id="101" w:name="_Toc12791"/>
      <w:bookmarkStart w:id="102" w:name="_Toc28145"/>
      <w:bookmarkStart w:id="103" w:name="_Toc816436548"/>
      <w:bookmarkStart w:id="104" w:name="_Toc1172655257"/>
      <w:bookmarkStart w:id="105" w:name="_Toc13667"/>
      <w:bookmarkStart w:id="106" w:name="_Toc31993"/>
      <w:bookmarkStart w:id="107" w:name="_Toc1694818706"/>
      <w:r>
        <w:rPr>
          <w:rFonts w:hint="eastAsia" w:ascii="宋体" w:hAnsi="宋体"/>
          <w:color w:val="auto"/>
          <w:sz w:val="24"/>
          <w:szCs w:val="24"/>
          <w:highlight w:val="none"/>
        </w:rPr>
        <w:t xml:space="preserve">   2.3 安全性</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color w:val="auto"/>
          <w:sz w:val="24"/>
          <w:szCs w:val="24"/>
          <w:highlight w:val="none"/>
        </w:rPr>
        <w:t>：</w:t>
      </w:r>
    </w:p>
    <w:p>
      <w:p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 xml:space="preserve">   辅机系统应符合安全环保要求；</w:t>
      </w:r>
    </w:p>
    <w:p>
      <w:p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 xml:space="preserve">   2.3.1 所有高速旋转设备都须加装安全网罩；</w:t>
      </w:r>
    </w:p>
    <w:p>
      <w:p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 xml:space="preserve">   2.3.2 所使用的电气元件应符合安全、防爆要求；</w:t>
      </w:r>
    </w:p>
    <w:p>
      <w:p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 xml:space="preserve">   2.3.3 辅机系统高温油管、水管、供气管道等应按国标要求采用不同的标识，以示区别。</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2.3.4 在辅机系统控制系统中，须增加辅机系统超负荷监控、安全监控和故障诊断；对重要参数（危及辅机系统和产品安全）的项目配置声光报警系统等。</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2.3.5 辅机系统控制系统软件应具备高低压保护、断水保护、过电流保护、漏电保护、相序与断相保护及导热油高低温保护功能</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2.3.6 辅机系统的使用安全性应符合国家和设计方、招标方的相关标准规定，施工时应采取切实可行的安全措施，辅机系统应通过招标方所在地的相关安全、环保等机构的验收。</w:t>
      </w:r>
    </w:p>
    <w:p>
      <w:pPr>
        <w:spacing w:line="360" w:lineRule="auto"/>
        <w:ind w:firstLine="0" w:firstLineChars="0"/>
        <w:rPr>
          <w:rFonts w:ascii="宋体" w:hAnsi="宋体"/>
          <w:color w:val="auto"/>
          <w:sz w:val="24"/>
          <w:szCs w:val="24"/>
          <w:highlight w:val="none"/>
        </w:rPr>
      </w:pPr>
      <w:bookmarkStart w:id="108" w:name="_Toc1817146822"/>
      <w:bookmarkStart w:id="109" w:name="_Toc429"/>
      <w:bookmarkStart w:id="110" w:name="_Toc10437"/>
      <w:bookmarkStart w:id="111" w:name="_Toc18763"/>
      <w:bookmarkStart w:id="112" w:name="_Toc25433"/>
      <w:bookmarkStart w:id="113" w:name="_Toc29915"/>
      <w:bookmarkStart w:id="114" w:name="_Toc56690976"/>
      <w:bookmarkStart w:id="115" w:name="_Toc11576"/>
      <w:bookmarkStart w:id="116" w:name="_Toc11765"/>
      <w:bookmarkStart w:id="117" w:name="_Toc1431162405"/>
      <w:bookmarkStart w:id="118" w:name="_Toc1375763333"/>
      <w:bookmarkStart w:id="119" w:name="_Toc23162"/>
      <w:bookmarkStart w:id="120" w:name="_Toc15964"/>
      <w:bookmarkStart w:id="121" w:name="_Toc6440653"/>
      <w:bookmarkStart w:id="122" w:name="_Toc1519831798"/>
      <w:bookmarkStart w:id="123" w:name="_Toc23622"/>
      <w:r>
        <w:rPr>
          <w:rFonts w:hint="eastAsia" w:ascii="宋体" w:hAnsi="宋体"/>
          <w:color w:val="auto"/>
          <w:sz w:val="24"/>
          <w:szCs w:val="24"/>
          <w:highlight w:val="none"/>
        </w:rPr>
        <w:t xml:space="preserve">   2.4 保障性</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2.4.1 投标方应向招标方提供采购外购件及易损件的型号、厂家信息、使用维护要求、说明书等，确保今后维护保障需求。</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2.4.2 设备功能相近的，选取的外购件型号规格尽量一致，有一定的互换性。</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2.4.3 在保证质量和性能的同时，尽量选用市场上容易采购及供货期较短的产品。</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2.4.4 投标方应向招标方提供详细的辅机系统操作维护说明书，操作维护说明书中应明确辅机系统的定期检查、维护、保养、维修等要求。</w:t>
      </w:r>
    </w:p>
    <w:p>
      <w:pPr>
        <w:spacing w:line="360" w:lineRule="auto"/>
        <w:ind w:firstLine="0" w:firstLineChars="0"/>
        <w:rPr>
          <w:rFonts w:ascii="宋体" w:hAnsi="宋体"/>
          <w:color w:val="auto"/>
          <w:sz w:val="24"/>
          <w:szCs w:val="24"/>
          <w:highlight w:val="none"/>
        </w:rPr>
      </w:pPr>
      <w:bookmarkStart w:id="124" w:name="_Toc982"/>
      <w:bookmarkStart w:id="125" w:name="_Toc1714496898"/>
      <w:bookmarkStart w:id="126" w:name="_Toc6006"/>
      <w:bookmarkStart w:id="127" w:name="_Toc1415414820"/>
      <w:bookmarkStart w:id="128" w:name="_Toc1253183992"/>
      <w:bookmarkStart w:id="129" w:name="_Toc1446950390"/>
      <w:bookmarkStart w:id="130" w:name="_Toc14280"/>
      <w:bookmarkStart w:id="131" w:name="_Toc15729"/>
      <w:bookmarkStart w:id="132" w:name="_Toc32738"/>
      <w:bookmarkStart w:id="133" w:name="_Toc11575"/>
      <w:bookmarkStart w:id="134" w:name="_Toc8982"/>
      <w:bookmarkStart w:id="135" w:name="_Toc21835"/>
      <w:bookmarkStart w:id="136" w:name="_Toc1837986513"/>
      <w:bookmarkStart w:id="137" w:name="_Toc2133353787"/>
      <w:bookmarkStart w:id="138" w:name="_Toc5428"/>
      <w:bookmarkStart w:id="139" w:name="_Toc1287"/>
      <w:r>
        <w:rPr>
          <w:rFonts w:hint="eastAsia" w:ascii="宋体" w:hAnsi="宋体"/>
          <w:color w:val="auto"/>
          <w:sz w:val="24"/>
          <w:szCs w:val="24"/>
          <w:highlight w:val="none"/>
        </w:rPr>
        <w:t xml:space="preserve">   2.5 测试性</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2.5.1 </w:t>
      </w:r>
      <w:r>
        <w:rPr>
          <w:rFonts w:hint="eastAsia" w:ascii="宋体" w:hAnsi="宋体"/>
          <w:strike/>
          <w:color w:val="auto"/>
          <w:sz w:val="24"/>
          <w:szCs w:val="24"/>
          <w:highlight w:val="none"/>
        </w:rPr>
        <w:t>设计</w:t>
      </w:r>
      <w:r>
        <w:rPr>
          <w:rFonts w:hint="eastAsia" w:ascii="宋体" w:hAnsi="宋体"/>
          <w:color w:val="auto"/>
          <w:sz w:val="24"/>
          <w:szCs w:val="24"/>
          <w:highlight w:val="none"/>
        </w:rPr>
        <w:t>选取的传感器测试精度应满足测试精度，并且结构应安装方便。</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2.5.2 为了提高检测的精度，传感器的传输线采用屏蔽线连接，消除各种干扰。</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2.5.3 辅机系统的健康管理功能应能有效防止、监测试验过程中的误操作现象。</w:t>
      </w:r>
      <w:bookmarkStart w:id="140" w:name="_Toc21612"/>
      <w:bookmarkStart w:id="141" w:name="_Toc32555"/>
      <w:bookmarkStart w:id="142" w:name="_Toc30410"/>
      <w:bookmarkStart w:id="143" w:name="_Toc477190392"/>
      <w:bookmarkStart w:id="144" w:name="_Toc9906"/>
      <w:bookmarkStart w:id="145" w:name="_Toc22841"/>
      <w:bookmarkStart w:id="146" w:name="_Toc6611"/>
      <w:bookmarkStart w:id="147" w:name="_Toc484617149"/>
      <w:bookmarkStart w:id="148" w:name="_Toc1818845344"/>
      <w:bookmarkStart w:id="149" w:name="_Toc1485346787"/>
      <w:bookmarkStart w:id="150" w:name="_Toc703705778"/>
      <w:bookmarkStart w:id="151" w:name="_Toc6847"/>
      <w:bookmarkStart w:id="152" w:name="_Toc1649790534"/>
      <w:bookmarkStart w:id="153" w:name="_Toc32705"/>
      <w:bookmarkStart w:id="154" w:name="_Toc4798"/>
      <w:bookmarkStart w:id="155" w:name="_Toc27157"/>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Pr>
        <w:spacing w:line="360" w:lineRule="auto"/>
        <w:ind w:firstLine="0" w:firstLineChars="0"/>
        <w:rPr>
          <w:rFonts w:ascii="宋体" w:hAnsi="宋体"/>
          <w:b/>
          <w:bCs/>
          <w:color w:val="auto"/>
          <w:sz w:val="24"/>
          <w:szCs w:val="24"/>
          <w:highlight w:val="none"/>
        </w:rPr>
      </w:pPr>
      <w:bookmarkStart w:id="156" w:name="_Toc16710"/>
      <w:bookmarkStart w:id="157" w:name="_Toc1615042086"/>
      <w:bookmarkStart w:id="158" w:name="_Toc15787636"/>
      <w:bookmarkStart w:id="159" w:name="_Toc398680113"/>
      <w:bookmarkStart w:id="160" w:name="_Toc1151724382"/>
      <w:bookmarkStart w:id="161" w:name="_Toc29832"/>
      <w:bookmarkStart w:id="162" w:name="_Toc505570126"/>
      <w:bookmarkStart w:id="163" w:name="_Toc12682"/>
      <w:bookmarkStart w:id="164" w:name="_Toc1085434763"/>
      <w:r>
        <w:rPr>
          <w:rFonts w:hint="eastAsia" w:ascii="宋体" w:hAnsi="宋体"/>
          <w:b/>
          <w:bCs/>
          <w:color w:val="auto"/>
          <w:sz w:val="24"/>
          <w:szCs w:val="24"/>
          <w:highlight w:val="none"/>
        </w:rPr>
        <w:t xml:space="preserve"> 3、适用标准与使用环境</w:t>
      </w:r>
      <w:bookmarkEnd w:id="156"/>
      <w:bookmarkEnd w:id="157"/>
      <w:bookmarkEnd w:id="158"/>
      <w:bookmarkEnd w:id="159"/>
      <w:bookmarkEnd w:id="160"/>
      <w:bookmarkEnd w:id="161"/>
      <w:bookmarkEnd w:id="162"/>
      <w:bookmarkEnd w:id="163"/>
      <w:bookmarkEnd w:id="164"/>
    </w:p>
    <w:p>
      <w:pPr>
        <w:spacing w:line="360" w:lineRule="auto"/>
        <w:ind w:firstLine="0" w:firstLineChars="0"/>
        <w:rPr>
          <w:rFonts w:ascii="宋体" w:hAnsi="宋体"/>
          <w:color w:val="auto"/>
          <w:sz w:val="24"/>
          <w:szCs w:val="24"/>
          <w:highlight w:val="none"/>
        </w:rPr>
      </w:pPr>
      <w:bookmarkStart w:id="165" w:name="_Toc1547710260"/>
      <w:bookmarkStart w:id="166" w:name="_Toc358356280"/>
      <w:bookmarkStart w:id="167" w:name="_Toc577160944"/>
      <w:bookmarkStart w:id="168" w:name="_Toc5337"/>
      <w:bookmarkStart w:id="169" w:name="_Toc15674"/>
      <w:bookmarkStart w:id="170" w:name="_Toc23865"/>
      <w:bookmarkStart w:id="171" w:name="_Toc495474410"/>
      <w:bookmarkStart w:id="172" w:name="_Toc967941710"/>
      <w:r>
        <w:rPr>
          <w:rFonts w:hint="eastAsia" w:ascii="宋体" w:hAnsi="宋体"/>
          <w:color w:val="auto"/>
          <w:sz w:val="24"/>
          <w:szCs w:val="24"/>
          <w:highlight w:val="none"/>
        </w:rPr>
        <w:t xml:space="preserve">   3.1 适用标准</w:t>
      </w:r>
      <w:bookmarkEnd w:id="165"/>
      <w:bookmarkEnd w:id="166"/>
      <w:bookmarkEnd w:id="167"/>
      <w:bookmarkEnd w:id="168"/>
      <w:bookmarkEnd w:id="169"/>
      <w:bookmarkEnd w:id="170"/>
      <w:bookmarkEnd w:id="171"/>
      <w:bookmarkEnd w:id="172"/>
    </w:p>
    <w:p>
      <w:pPr>
        <w:spacing w:line="360" w:lineRule="auto"/>
        <w:ind w:left="420" w:firstLine="0" w:firstLineChars="0"/>
        <w:rPr>
          <w:rFonts w:ascii="宋体" w:hAnsi="宋体"/>
          <w:color w:val="auto"/>
          <w:sz w:val="24"/>
          <w:szCs w:val="24"/>
          <w:highlight w:val="none"/>
        </w:rPr>
      </w:pPr>
      <w:bookmarkStart w:id="173" w:name="_Toc1719381911"/>
      <w:r>
        <w:rPr>
          <w:rFonts w:hint="eastAsia" w:ascii="宋体" w:hAnsi="宋体"/>
          <w:color w:val="auto"/>
          <w:sz w:val="24"/>
          <w:szCs w:val="24"/>
          <w:highlight w:val="none"/>
        </w:rPr>
        <w:t xml:space="preserve"> 3.1.1 设备的安全保护设施</w:t>
      </w:r>
      <w:bookmarkEnd w:id="173"/>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设备须符合中华人民共和国国家安全标准，当中华人民共和国国家安全标准与其它标准发生冲突时，应执行中华人民共和国国家安全标准，当中华人民共和国国家安全标准无相关要求时，应符合国际现行标准。</w:t>
      </w:r>
    </w:p>
    <w:p>
      <w:pPr>
        <w:spacing w:line="360" w:lineRule="auto"/>
        <w:ind w:left="420" w:firstLine="0" w:firstLineChars="0"/>
        <w:rPr>
          <w:rFonts w:ascii="宋体" w:hAnsi="宋体"/>
          <w:color w:val="auto"/>
          <w:sz w:val="24"/>
          <w:szCs w:val="24"/>
          <w:highlight w:val="none"/>
        </w:rPr>
      </w:pPr>
      <w:bookmarkStart w:id="174" w:name="_Toc1893820848"/>
      <w:r>
        <w:rPr>
          <w:rFonts w:hint="eastAsia" w:ascii="宋体" w:hAnsi="宋体"/>
          <w:color w:val="auto"/>
          <w:sz w:val="24"/>
          <w:szCs w:val="24"/>
          <w:highlight w:val="none"/>
        </w:rPr>
        <w:t xml:space="preserve"> 3.1.2 设备的环保标准</w:t>
      </w:r>
      <w:bookmarkEnd w:id="174"/>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投标人须保证设备组成及使用中不含有重金属及其它有害物质。</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在设备通电待机情况下，附近的微波和工频电场辐射强度均不能超过《工作场所有害因素职业接触限值》（GBZ 2.1）的规定；试验时，暗室和屏蔽室外的所有设备和配套电缆也需满足该标准。</w:t>
      </w:r>
    </w:p>
    <w:p>
      <w:pPr>
        <w:spacing w:line="360" w:lineRule="auto"/>
        <w:ind w:left="420" w:firstLine="0" w:firstLineChars="0"/>
        <w:rPr>
          <w:rFonts w:ascii="宋体" w:hAnsi="宋体"/>
          <w:color w:val="auto"/>
          <w:sz w:val="24"/>
          <w:szCs w:val="24"/>
          <w:highlight w:val="none"/>
        </w:rPr>
      </w:pPr>
      <w:bookmarkStart w:id="175" w:name="_Toc1175914542"/>
      <w:r>
        <w:rPr>
          <w:rFonts w:hint="eastAsia" w:ascii="宋体" w:hAnsi="宋体"/>
          <w:color w:val="auto"/>
          <w:sz w:val="24"/>
          <w:szCs w:val="24"/>
          <w:highlight w:val="none"/>
        </w:rPr>
        <w:t xml:space="preserve"> 3.1.3 其他说明</w:t>
      </w:r>
      <w:bookmarkEnd w:id="175"/>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本技术要求提供的是最低的技术要求，并未对一切技术细节做出规定，也未充分引述有关标准和规范的条文，投标人应保证提供符合技术要求和有关标准、规范的优质产品。</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本技术要求所使用的标准和规范如与投标人所执行的标准和规范发生差异时，按较高标准和规范执行。</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除非在技术要求中另作规定外，投标人提供的有关技术文件均应使用国际标准、国家标准或行业标准。这些标准应为合同签字日为止最新公布发行的标准。</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所有零、部件和各种仪器、仪表、传感器的计量单位应全部采用中国国家法定计量单位制单位（SI）。</w:t>
      </w:r>
    </w:p>
    <w:p>
      <w:pPr>
        <w:spacing w:line="360" w:lineRule="auto"/>
        <w:ind w:firstLine="0" w:firstLineChars="0"/>
        <w:rPr>
          <w:rFonts w:ascii="宋体" w:hAnsi="宋体"/>
          <w:color w:val="auto"/>
          <w:sz w:val="24"/>
          <w:szCs w:val="24"/>
          <w:highlight w:val="none"/>
        </w:rPr>
      </w:pPr>
      <w:bookmarkStart w:id="176" w:name="_Toc626696892"/>
      <w:bookmarkStart w:id="177" w:name="_Toc2105099854"/>
      <w:bookmarkStart w:id="178" w:name="_Toc369495479"/>
      <w:bookmarkStart w:id="179" w:name="_Toc912457007"/>
      <w:bookmarkStart w:id="180" w:name="_Toc1769699815"/>
      <w:bookmarkStart w:id="181" w:name="_Toc29352"/>
      <w:bookmarkStart w:id="182" w:name="_Toc2958"/>
      <w:bookmarkStart w:id="183" w:name="_Toc29815"/>
      <w:r>
        <w:rPr>
          <w:rFonts w:hint="eastAsia" w:ascii="宋体" w:hAnsi="宋体"/>
          <w:color w:val="auto"/>
          <w:sz w:val="24"/>
          <w:szCs w:val="24"/>
          <w:highlight w:val="none"/>
        </w:rPr>
        <w:t xml:space="preserve">   3.2使用环境</w:t>
      </w:r>
      <w:bookmarkEnd w:id="176"/>
      <w:bookmarkEnd w:id="177"/>
      <w:bookmarkEnd w:id="178"/>
      <w:bookmarkEnd w:id="179"/>
      <w:bookmarkEnd w:id="180"/>
      <w:bookmarkEnd w:id="181"/>
      <w:bookmarkEnd w:id="182"/>
      <w:bookmarkEnd w:id="183"/>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设备能长时间处在以下环境中运转：</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室内环境温度范围：（0～＋40）℃；</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环境相对湿度范围：50~99%RH，年平均不小于85%RH，有凝露；</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海拔高度：不超过100m；</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大气压力：（0.096～0.1014）MPa（A）；</w:t>
      </w:r>
    </w:p>
    <w:p>
      <w:pPr>
        <w:spacing w:line="360" w:lineRule="auto"/>
        <w:ind w:firstLine="0" w:firstLineChars="0"/>
        <w:rPr>
          <w:b/>
          <w:bCs/>
          <w:color w:val="auto"/>
          <w:sz w:val="28"/>
          <w:szCs w:val="28"/>
          <w:highlight w:val="none"/>
        </w:rPr>
      </w:pPr>
      <w:r>
        <w:rPr>
          <w:rFonts w:hint="eastAsia" w:ascii="宋体" w:hAnsi="宋体"/>
          <w:color w:val="auto"/>
          <w:sz w:val="24"/>
          <w:szCs w:val="24"/>
          <w:highlight w:val="none"/>
        </w:rPr>
        <w:t xml:space="preserve">    现场环境可提供的电源如下：交流电源：380V±10%，50 Hz±0.5Hz ；220V±10%，50 Hz±0.5Hz</w:t>
      </w:r>
    </w:p>
    <w:p>
      <w:pPr>
        <w:spacing w:line="360" w:lineRule="auto"/>
        <w:ind w:firstLine="0" w:firstLineChars="0"/>
        <w:rPr>
          <w:rFonts w:ascii="宋体" w:hAnsi="宋体"/>
          <w:b/>
          <w:bCs/>
          <w:color w:val="auto"/>
          <w:sz w:val="24"/>
          <w:szCs w:val="24"/>
          <w:highlight w:val="none"/>
        </w:rPr>
      </w:pPr>
      <w:bookmarkStart w:id="184" w:name="_Toc6161"/>
      <w:bookmarkStart w:id="185" w:name="_Toc1782177260"/>
      <w:bookmarkStart w:id="186" w:name="_Toc1533748924"/>
      <w:bookmarkStart w:id="187" w:name="_Toc968912631"/>
      <w:bookmarkStart w:id="188" w:name="_Toc256"/>
      <w:bookmarkStart w:id="189" w:name="_Toc20684"/>
      <w:bookmarkStart w:id="190" w:name="_Toc1740362862"/>
      <w:bookmarkStart w:id="191" w:name="_Toc24313"/>
      <w:bookmarkStart w:id="192" w:name="_Toc14941"/>
      <w:bookmarkStart w:id="193" w:name="_Toc4322"/>
      <w:bookmarkStart w:id="194" w:name="_Toc18192"/>
      <w:bookmarkStart w:id="195" w:name="_Toc889004112"/>
      <w:bookmarkStart w:id="196" w:name="_Toc1006456971"/>
      <w:bookmarkStart w:id="197" w:name="_Toc26661"/>
      <w:bookmarkStart w:id="198" w:name="_Toc416"/>
      <w:bookmarkStart w:id="199" w:name="_Toc20907"/>
      <w:r>
        <w:rPr>
          <w:rFonts w:hint="eastAsia" w:ascii="宋体" w:hAnsi="宋体"/>
          <w:b/>
          <w:bCs/>
          <w:color w:val="auto"/>
          <w:sz w:val="24"/>
          <w:szCs w:val="24"/>
          <w:highlight w:val="none"/>
        </w:rPr>
        <w:t xml:space="preserve"> 4、设备的基本功能与组成</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本项目建设是满足6UEC50LSH、6UEC60LSE、7UEC60LSE等型号低速柴油机出厂前试验用的2套辅机系统（A系统和B系统），该系统须满足4个台位（N01~N04）的低速柴油机装配试验所需，并配套相应的控制系统。A系统和B系统最大可以满足7UEC60LSE-ECO-A2低速机（16660kW）的生产试验需求。</w:t>
      </w:r>
    </w:p>
    <w:p>
      <w:pPr>
        <w:spacing w:line="360" w:lineRule="auto"/>
        <w:ind w:firstLine="480"/>
        <w:jc w:val="left"/>
        <w:rPr>
          <w:rFonts w:ascii="宋体" w:hAnsi="宋体"/>
          <w:color w:val="auto"/>
          <w:sz w:val="24"/>
          <w:szCs w:val="24"/>
          <w:highlight w:val="none"/>
        </w:rPr>
      </w:pPr>
      <w:r>
        <w:rPr>
          <w:rFonts w:hint="eastAsia" w:ascii="宋体" w:hAnsi="宋体" w:cs="宋体"/>
          <w:color w:val="auto"/>
          <w:sz w:val="24"/>
          <w:szCs w:val="24"/>
          <w:highlight w:val="none"/>
        </w:rPr>
        <w:t>本项目由燃油系统（含燃油串油系统）、润滑油系统、缸套油系统、冷却水系统、排气系统，SCR 系统、外循环冷却水及水力测功器供水系统、控制系统、低压配电系统等组成,还包括低速机安装平台供货、低速机线条底座安装调平、便携式颗粒度分析仪供货、以及控制室装修和设备基础等配套土建等内容。</w:t>
      </w:r>
    </w:p>
    <w:p>
      <w:pPr>
        <w:spacing w:line="360" w:lineRule="auto"/>
        <w:ind w:firstLine="0" w:firstLineChars="0"/>
        <w:outlineLvl w:val="4"/>
        <w:rPr>
          <w:rFonts w:ascii="宋体" w:hAnsi="宋体" w:cs="宋体"/>
          <w:color w:val="auto"/>
          <w:sz w:val="24"/>
          <w:szCs w:val="24"/>
          <w:highlight w:val="none"/>
        </w:rPr>
      </w:pPr>
      <w:bookmarkStart w:id="200" w:name="_Toc17557"/>
      <w:bookmarkStart w:id="201" w:name="_Toc25888"/>
      <w:bookmarkStart w:id="202" w:name="_Toc3084"/>
      <w:bookmarkStart w:id="203" w:name="_Toc867910066"/>
      <w:bookmarkStart w:id="204" w:name="_Toc758482375"/>
      <w:bookmarkStart w:id="205" w:name="_Toc15750"/>
      <w:bookmarkStart w:id="206" w:name="_Toc2511"/>
      <w:bookmarkStart w:id="207" w:name="_Toc22375"/>
      <w:bookmarkStart w:id="208" w:name="_Toc2218"/>
      <w:bookmarkStart w:id="209" w:name="_Toc194434120"/>
      <w:r>
        <w:rPr>
          <w:rFonts w:hint="eastAsia" w:ascii="宋体" w:hAnsi="宋体" w:cs="宋体"/>
          <w:color w:val="auto"/>
          <w:sz w:val="24"/>
          <w:szCs w:val="24"/>
          <w:highlight w:val="none"/>
        </w:rPr>
        <w:t xml:space="preserve">   4.1设备主要功能</w:t>
      </w:r>
      <w:bookmarkEnd w:id="200"/>
      <w:bookmarkEnd w:id="201"/>
      <w:bookmarkEnd w:id="202"/>
      <w:bookmarkEnd w:id="203"/>
      <w:bookmarkEnd w:id="204"/>
      <w:bookmarkEnd w:id="205"/>
      <w:bookmarkEnd w:id="206"/>
      <w:bookmarkEnd w:id="207"/>
      <w:bookmarkEnd w:id="208"/>
      <w:bookmarkEnd w:id="209"/>
    </w:p>
    <w:p>
      <w:pPr>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满足试验对象柴油机过程检验、出厂检验和装试机生产需求，设计原则参照我司靖江分公司低速机试验基地设计，并且可满足更大试验设备对功率、流量等加大的需要。同时，根据产品生产的需要，场地内预留拓展裕度，后期经局部改进，可实现对试验设备能力的拓展提升。        </w:t>
      </w:r>
    </w:p>
    <w:p>
      <w:pPr>
        <w:spacing w:line="360" w:lineRule="auto"/>
        <w:ind w:firstLine="0" w:firstLineChars="0"/>
        <w:outlineLvl w:val="4"/>
        <w:rPr>
          <w:rFonts w:ascii="宋体" w:hAnsi="宋体" w:cs="宋体"/>
          <w:color w:val="auto"/>
          <w:sz w:val="24"/>
          <w:szCs w:val="24"/>
          <w:highlight w:val="none"/>
        </w:rPr>
      </w:pPr>
      <w:bookmarkStart w:id="210" w:name="_Toc28391"/>
      <w:bookmarkStart w:id="211" w:name="_Toc32342"/>
      <w:bookmarkStart w:id="212" w:name="_Toc319970931"/>
      <w:bookmarkStart w:id="213" w:name="_Toc297924889"/>
      <w:bookmarkStart w:id="214" w:name="_Toc17398"/>
      <w:bookmarkStart w:id="215" w:name="_Toc2105917992"/>
      <w:bookmarkStart w:id="216" w:name="_Toc27673"/>
      <w:bookmarkStart w:id="217" w:name="_Toc21954"/>
      <w:bookmarkStart w:id="218" w:name="_Toc12036"/>
      <w:bookmarkStart w:id="219" w:name="_Toc13957"/>
      <w:r>
        <w:rPr>
          <w:rFonts w:hint="eastAsia" w:ascii="宋体" w:hAnsi="宋体" w:cs="宋体"/>
          <w:color w:val="auto"/>
          <w:sz w:val="24"/>
          <w:szCs w:val="24"/>
          <w:highlight w:val="none"/>
        </w:rPr>
        <w:t xml:space="preserve">   4.2 试验对象</w:t>
      </w:r>
      <w:bookmarkEnd w:id="210"/>
      <w:bookmarkEnd w:id="211"/>
      <w:bookmarkEnd w:id="212"/>
      <w:bookmarkEnd w:id="213"/>
      <w:bookmarkEnd w:id="214"/>
      <w:bookmarkEnd w:id="215"/>
      <w:bookmarkEnd w:id="216"/>
      <w:bookmarkEnd w:id="217"/>
      <w:bookmarkEnd w:id="218"/>
    </w:p>
    <w:p>
      <w:pPr>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6UEC50LSH、6UEC60LSE、7UEC60LSE等型号低速柴油机。</w:t>
      </w:r>
    </w:p>
    <w:bookmarkEnd w:id="219"/>
    <w:p>
      <w:pPr>
        <w:spacing w:line="360" w:lineRule="auto"/>
        <w:ind w:firstLine="0" w:firstLineChars="0"/>
        <w:rPr>
          <w:rFonts w:ascii="宋体" w:hAnsi="宋体"/>
          <w:color w:val="auto"/>
          <w:sz w:val="24"/>
          <w:szCs w:val="24"/>
          <w:highlight w:val="none"/>
        </w:rPr>
      </w:pPr>
      <w:bookmarkStart w:id="220" w:name="_Toc1664974767"/>
      <w:bookmarkStart w:id="221" w:name="_Toc26576"/>
      <w:bookmarkStart w:id="222" w:name="_Toc273947099"/>
      <w:bookmarkStart w:id="223" w:name="_Toc27103"/>
      <w:bookmarkStart w:id="224" w:name="_Toc19390"/>
      <w:bookmarkStart w:id="225" w:name="_Toc23532"/>
      <w:bookmarkStart w:id="226" w:name="_Toc52"/>
      <w:bookmarkStart w:id="227" w:name="_Toc1627695467"/>
      <w:bookmarkStart w:id="228" w:name="_Toc19386"/>
      <w:bookmarkStart w:id="229" w:name="_Toc1765801033"/>
      <w:bookmarkStart w:id="230" w:name="_Toc26173"/>
      <w:bookmarkStart w:id="231" w:name="_Toc130834351"/>
      <w:bookmarkStart w:id="232" w:name="_Toc21189"/>
      <w:bookmarkStart w:id="233" w:name="_Toc19476"/>
      <w:bookmarkStart w:id="234" w:name="_Toc1871276532"/>
      <w:bookmarkStart w:id="235" w:name="_Toc9735"/>
      <w:r>
        <w:rPr>
          <w:rFonts w:hint="eastAsia" w:ascii="宋体" w:hAnsi="宋体"/>
          <w:color w:val="auto"/>
          <w:sz w:val="24"/>
          <w:szCs w:val="24"/>
          <w:highlight w:val="none"/>
        </w:rPr>
        <w:t xml:space="preserve">   4.3生产效率要求</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每套低速机辅机系统需要达到每月满足</w:t>
      </w:r>
      <w:r>
        <w:rPr>
          <w:rFonts w:hint="eastAsia" w:ascii="宋体" w:hAnsi="宋体"/>
          <w:b/>
          <w:bCs/>
          <w:color w:val="auto"/>
          <w:sz w:val="24"/>
          <w:szCs w:val="24"/>
          <w:highlight w:val="none"/>
        </w:rPr>
        <w:t>1.5台6UEC50LSH</w:t>
      </w:r>
      <w:r>
        <w:rPr>
          <w:rFonts w:hint="eastAsia" w:ascii="宋体" w:hAnsi="宋体"/>
          <w:color w:val="auto"/>
          <w:sz w:val="24"/>
          <w:szCs w:val="24"/>
          <w:highlight w:val="none"/>
        </w:rPr>
        <w:t>低速机的台架试验的生产效率要求。</w:t>
      </w:r>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Pr>
        <w:spacing w:line="360" w:lineRule="auto"/>
        <w:ind w:firstLine="0" w:firstLineChars="0"/>
        <w:rPr>
          <w:rFonts w:ascii="宋体" w:hAnsi="宋体"/>
          <w:b/>
          <w:bCs/>
          <w:color w:val="auto"/>
          <w:sz w:val="24"/>
          <w:szCs w:val="24"/>
          <w:highlight w:val="none"/>
        </w:rPr>
      </w:pPr>
      <w:r>
        <w:rPr>
          <w:rFonts w:hint="eastAsia" w:ascii="宋体" w:hAnsi="宋体"/>
          <w:b/>
          <w:bCs/>
          <w:color w:val="auto"/>
          <w:sz w:val="24"/>
          <w:szCs w:val="24"/>
          <w:highlight w:val="none"/>
        </w:rPr>
        <w:t xml:space="preserve"> 5、系统介绍</w:t>
      </w:r>
    </w:p>
    <w:p>
      <w:pPr>
        <w:spacing w:line="360" w:lineRule="auto"/>
        <w:ind w:firstLine="0" w:firstLineChars="0"/>
        <w:rPr>
          <w:rFonts w:ascii="宋体" w:hAnsi="宋体"/>
          <w:color w:val="auto"/>
          <w:sz w:val="24"/>
          <w:szCs w:val="24"/>
          <w:highlight w:val="none"/>
        </w:rPr>
      </w:pPr>
      <w:bookmarkStart w:id="236" w:name="_Toc4330"/>
      <w:bookmarkStart w:id="237" w:name="_Toc13024"/>
      <w:bookmarkStart w:id="238" w:name="_Toc3476"/>
      <w:bookmarkStart w:id="239" w:name="_Toc924557204"/>
      <w:bookmarkStart w:id="240" w:name="_Toc11372"/>
      <w:bookmarkStart w:id="241" w:name="_Toc1206428619"/>
      <w:bookmarkStart w:id="242" w:name="_Toc14791"/>
      <w:bookmarkStart w:id="243" w:name="_Toc1410607370"/>
      <w:bookmarkStart w:id="244" w:name="_Toc32656"/>
      <w:r>
        <w:rPr>
          <w:rFonts w:hint="eastAsia" w:ascii="宋体" w:hAnsi="宋体"/>
          <w:color w:val="auto"/>
          <w:sz w:val="24"/>
          <w:szCs w:val="24"/>
          <w:highlight w:val="none"/>
        </w:rPr>
        <w:t xml:space="preserve">   5.1 燃油系统</w:t>
      </w:r>
      <w:bookmarkEnd w:id="236"/>
      <w:bookmarkEnd w:id="237"/>
      <w:bookmarkEnd w:id="238"/>
      <w:bookmarkEnd w:id="239"/>
      <w:bookmarkEnd w:id="240"/>
      <w:bookmarkEnd w:id="241"/>
      <w:bookmarkEnd w:id="242"/>
      <w:bookmarkEnd w:id="243"/>
      <w:bookmarkEnd w:id="244"/>
    </w:p>
    <w:p>
      <w:pPr>
        <w:spacing w:line="360" w:lineRule="auto"/>
        <w:ind w:left="420" w:firstLine="480"/>
        <w:rPr>
          <w:rFonts w:ascii="宋体" w:hAnsi="宋体"/>
          <w:color w:val="auto"/>
          <w:sz w:val="24"/>
          <w:szCs w:val="24"/>
          <w:highlight w:val="none"/>
        </w:rPr>
      </w:pPr>
      <w:bookmarkStart w:id="245" w:name="_Toc1047404558"/>
      <w:bookmarkStart w:id="246" w:name="_Toc29953"/>
      <w:bookmarkStart w:id="247" w:name="_Toc5838"/>
      <w:bookmarkStart w:id="248" w:name="_Toc6059"/>
      <w:bookmarkStart w:id="249" w:name="_Toc959313822"/>
      <w:bookmarkStart w:id="250" w:name="_Toc1628328939"/>
      <w:bookmarkStart w:id="251" w:name="_Toc12717"/>
      <w:bookmarkStart w:id="252" w:name="_Toc30817"/>
      <w:bookmarkStart w:id="253" w:name="_Toc30085"/>
      <w:r>
        <w:rPr>
          <w:rFonts w:hint="eastAsia" w:ascii="宋体" w:hAnsi="宋体"/>
          <w:color w:val="auto"/>
          <w:sz w:val="24"/>
          <w:szCs w:val="24"/>
          <w:highlight w:val="none"/>
        </w:rPr>
        <w:t>低速机试验区域与中速机试验区域共用厂区供油站，柴油由厂区供油站提供，试验时通过柴油输油泵向低速机试验区A、B两套系统供油。</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主要设备包括：称重油箱、柴油泄漏油泵、柴油泄漏油箱（带称重）、柴油供给泵、柴油双联滤器、磁性滤器、高分子滤器、柴油回油冷却器和调压阀等。</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燃油串油系统共两套（A系统和B系统），由回油过滤器、高分子滤器、磁性滤器、双联过滤器、三螺杆供油泵、燃油串油油箱、相关管道及辅件（管件、阀门、流量机等）组成。串油供油泵启/停/故障异常信号传至控制室，控制室并设置远程启、停功能。油箱补油通过人工根据液位计的液位显示进行操作。</w:t>
      </w:r>
    </w:p>
    <w:p>
      <w:p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 xml:space="preserve"> 5.2 </w:t>
      </w:r>
      <w:bookmarkStart w:id="254" w:name="_Toc29855"/>
      <w:bookmarkStart w:id="255" w:name="_Toc1705678845"/>
      <w:bookmarkStart w:id="256" w:name="_Toc1988"/>
      <w:bookmarkStart w:id="257" w:name="_Toc1441"/>
      <w:bookmarkStart w:id="258" w:name="_Toc2651"/>
      <w:bookmarkStart w:id="259" w:name="_Toc9958"/>
      <w:bookmarkStart w:id="260" w:name="_Toc2952"/>
      <w:bookmarkStart w:id="261" w:name="_Toc1837884015"/>
      <w:bookmarkStart w:id="262" w:name="_Toc1427376032"/>
      <w:bookmarkEnd w:id="245"/>
      <w:bookmarkEnd w:id="246"/>
      <w:bookmarkEnd w:id="247"/>
      <w:bookmarkEnd w:id="248"/>
      <w:bookmarkEnd w:id="249"/>
      <w:bookmarkEnd w:id="250"/>
      <w:bookmarkEnd w:id="251"/>
      <w:bookmarkEnd w:id="252"/>
      <w:bookmarkEnd w:id="253"/>
      <w:r>
        <w:rPr>
          <w:rFonts w:hint="eastAsia" w:ascii="宋体" w:hAnsi="宋体"/>
          <w:color w:val="auto"/>
          <w:sz w:val="24"/>
          <w:szCs w:val="24"/>
          <w:highlight w:val="none"/>
        </w:rPr>
        <w:t>润滑油系统</w:t>
      </w:r>
      <w:bookmarkEnd w:id="254"/>
      <w:bookmarkEnd w:id="255"/>
      <w:bookmarkEnd w:id="256"/>
      <w:bookmarkEnd w:id="257"/>
      <w:bookmarkEnd w:id="258"/>
      <w:bookmarkEnd w:id="259"/>
      <w:bookmarkEnd w:id="260"/>
      <w:bookmarkEnd w:id="261"/>
      <w:bookmarkEnd w:id="262"/>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润滑油系统为柴油机重要部件，提供润滑、冷却，保证机组安全与稳定的运行。润滑油系统包含润滑油供油、净化处理、存储和温度控制。通过配置的滑油分油机将A、B系统润滑油油箱中的脏油进行处理，通过系统中各个阀门、驳油泵可实现各油箱切换。</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主要设备包括：滑油分油机、润滑油供油泵、滑油预供泵、润滑油冷却器、润滑油油箱、加热装置、润滑油磁滤器、润滑油粗滤器、润滑油精滤器、调压阀、温控阀等。</w:t>
      </w:r>
    </w:p>
    <w:p>
      <w:pPr>
        <w:spacing w:line="360" w:lineRule="auto"/>
        <w:ind w:firstLineChars="0"/>
        <w:rPr>
          <w:rFonts w:ascii="宋体" w:hAnsi="宋体"/>
          <w:color w:val="auto"/>
          <w:sz w:val="24"/>
          <w:szCs w:val="24"/>
          <w:highlight w:val="none"/>
        </w:rPr>
      </w:pPr>
      <w:bookmarkStart w:id="263" w:name="_Toc14024"/>
      <w:bookmarkStart w:id="264" w:name="_Toc1740357826"/>
      <w:bookmarkStart w:id="265" w:name="_Toc261639280"/>
      <w:bookmarkStart w:id="266" w:name="_Toc4249"/>
      <w:bookmarkStart w:id="267" w:name="_Toc23955"/>
      <w:bookmarkStart w:id="268" w:name="_Toc1974"/>
      <w:bookmarkStart w:id="269" w:name="_Toc740220204"/>
      <w:bookmarkStart w:id="270" w:name="_Toc12267"/>
      <w:bookmarkStart w:id="271" w:name="_Toc28951"/>
      <w:r>
        <w:rPr>
          <w:rFonts w:hint="eastAsia" w:ascii="宋体" w:hAnsi="宋体"/>
          <w:color w:val="auto"/>
          <w:sz w:val="24"/>
          <w:szCs w:val="24"/>
          <w:highlight w:val="none"/>
        </w:rPr>
        <w:t xml:space="preserve"> 5.3 缸套油系统</w:t>
      </w:r>
      <w:bookmarkEnd w:id="263"/>
      <w:bookmarkEnd w:id="264"/>
      <w:bookmarkEnd w:id="265"/>
      <w:bookmarkEnd w:id="266"/>
      <w:bookmarkEnd w:id="267"/>
      <w:bookmarkEnd w:id="268"/>
      <w:bookmarkEnd w:id="269"/>
      <w:bookmarkEnd w:id="270"/>
      <w:bookmarkEnd w:id="271"/>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气缸油系统主要实现气缸油供油、储存及温度控制；气缸油A、B系统共用1个缸套油油箱。</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主要设备包括：气缸油储存箱、气缸油供油泵、加热装置、过滤器、高位气缸油油箱和流量计等。</w:t>
      </w:r>
    </w:p>
    <w:p>
      <w:pPr>
        <w:spacing w:line="360" w:lineRule="auto"/>
        <w:ind w:firstLine="240" w:firstLineChars="100"/>
        <w:rPr>
          <w:rFonts w:ascii="宋体" w:hAnsi="宋体"/>
          <w:color w:val="auto"/>
          <w:sz w:val="24"/>
          <w:szCs w:val="24"/>
          <w:highlight w:val="none"/>
        </w:rPr>
      </w:pPr>
      <w:bookmarkStart w:id="272" w:name="_Toc2968"/>
      <w:bookmarkStart w:id="273" w:name="_Toc10884"/>
      <w:bookmarkStart w:id="274" w:name="_Toc14397"/>
      <w:bookmarkStart w:id="275" w:name="_Toc2006789061"/>
      <w:bookmarkStart w:id="276" w:name="_Toc31345"/>
      <w:bookmarkStart w:id="277" w:name="_Toc512862562"/>
      <w:bookmarkStart w:id="278" w:name="_Toc1452169459"/>
      <w:bookmarkStart w:id="279" w:name="_Toc758"/>
      <w:bookmarkStart w:id="280" w:name="_Toc3341"/>
      <w:r>
        <w:rPr>
          <w:rFonts w:hint="eastAsia" w:ascii="宋体" w:hAnsi="宋体"/>
          <w:color w:val="auto"/>
          <w:sz w:val="24"/>
          <w:szCs w:val="24"/>
          <w:highlight w:val="none"/>
        </w:rPr>
        <w:t>5.4 柴油冷却水系统</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冷却水系统为柴油机重要部件提供冷却，保证机组安全与稳定的运行，冷却介质为淡水。冷却水系统包括高温水系统、低温水系统。高温水系统为闭式循环，低温水系统为开式循环，从冷却水池取水，用于冷却高温水、滑油、增压空气冷却器，通过外围循环冷却水经公共系统冷却塔冷却。</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高温水系统主要设备包括高温水冷却器、高温水泵模块、高温水预热模块、高温水电动温控阀、高温水储存水箱、高温水膨胀水箱和流量计等。</w:t>
      </w:r>
    </w:p>
    <w:p>
      <w:p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 xml:space="preserve"> 5.5 测功器冷却水系统 </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外循环冷却水系统为各辅机系统位提供冷却水，用于冷却柴油机高温水系统、低温水系统、润滑油及柴油回油。发动机循环冷却水4个装试工位采用一套外循环冷却水系统，测功器循环水供水按独立系统设计，测功器重力回水，共用1根主管；配置1套自动反冲洗砂滤设备及潜污泵，用于进行循环水池内杂质过滤及污水抽出，保证冷却水清洁度。</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主要设备包括开式冷却塔、发动机循环水泵、测功器循环水泵、自动反冲洗砂滤设备等。</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5.6 排气系统</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排气系统包括排气膨胀节、排烟管道和带有覆盖层的保温层管道配件。排气系统接至厂房辅机房顶主排气管道，每台机排气管路至排气总管布置电动阀，用于阻止烟气倒灌以及调节背压。N01-N04号辅机系统位的排烟管道接至厂房排烟总管，排烟总管与厂房外的1根烟囱连接，柴油机烟气经排烟总管至SCR系统处理，处理后通过烟囱排放至大气。在N01-N04辅机系统位总管的支管均安装有电动阀，如需同时进行2台柴油机试验时，可打开电动阀，通过SCR系统处理经烟囱排气。</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主要设备包括：排气膨胀节、排气电动阀、电动烟气三通阀、SCR系统及尿素供给系统等。</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5.7 控制系统</w:t>
      </w:r>
      <w:bookmarkEnd w:id="272"/>
      <w:bookmarkEnd w:id="273"/>
      <w:bookmarkEnd w:id="274"/>
      <w:bookmarkEnd w:id="275"/>
      <w:bookmarkEnd w:id="276"/>
      <w:bookmarkEnd w:id="277"/>
      <w:bookmarkEnd w:id="278"/>
      <w:bookmarkEnd w:id="279"/>
      <w:bookmarkEnd w:id="280"/>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控制室设有控制系统，提供公共系统和测功器及对应柴油机的数据监控、报警和记录。公共系统数据监测包括：燃油压力、油箱液位等，发动机及测功器通过通讯传输至控制系统，实时数据监测、报警及记录。</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5.8 SCR系统</w:t>
      </w:r>
    </w:p>
    <w:p>
      <w:pPr>
        <w:spacing w:line="360" w:lineRule="auto"/>
        <w:ind w:left="420" w:firstLine="480"/>
        <w:rPr>
          <w:rFonts w:ascii="宋体" w:hAnsi="宋体"/>
          <w:color w:val="auto"/>
          <w:sz w:val="24"/>
          <w:szCs w:val="24"/>
          <w:highlight w:val="none"/>
        </w:rPr>
      </w:pPr>
      <w:r>
        <w:rPr>
          <w:rFonts w:ascii="宋体" w:hAnsi="宋体"/>
          <w:color w:val="auto"/>
          <w:sz w:val="24"/>
          <w:szCs w:val="24"/>
          <w:highlight w:val="none"/>
        </w:rPr>
        <w:t>SCR系统主要进行排放尾气中的NO</w:t>
      </w:r>
      <w:r>
        <w:rPr>
          <w:rFonts w:ascii="宋体" w:hAnsi="宋体"/>
          <w:color w:val="auto"/>
          <w:sz w:val="15"/>
          <w:szCs w:val="24"/>
          <w:highlight w:val="none"/>
        </w:rPr>
        <w:t>X</w:t>
      </w:r>
      <w:r>
        <w:rPr>
          <w:rFonts w:hint="eastAsia" w:ascii="宋体" w:hAnsi="宋体"/>
          <w:color w:val="auto"/>
          <w:sz w:val="24"/>
          <w:szCs w:val="24"/>
          <w:highlight w:val="none"/>
        </w:rPr>
        <w:t>进行处理（最大排气处理量不低于</w:t>
      </w:r>
      <w:r>
        <w:rPr>
          <w:rFonts w:ascii="宋体" w:hAnsi="宋体"/>
          <w:color w:val="auto"/>
          <w:sz w:val="24"/>
          <w:szCs w:val="24"/>
          <w:highlight w:val="none"/>
        </w:rPr>
        <w:t>144165kg/h</w:t>
      </w:r>
      <w:r>
        <w:rPr>
          <w:rFonts w:hint="eastAsia" w:ascii="宋体" w:hAnsi="宋体"/>
          <w:color w:val="auto"/>
          <w:sz w:val="24"/>
          <w:szCs w:val="24"/>
          <w:highlight w:val="none"/>
        </w:rPr>
        <w:t>）。在烟囱前的排烟总管配置</w:t>
      </w:r>
      <w:r>
        <w:rPr>
          <w:rFonts w:ascii="宋体" w:hAnsi="宋体"/>
          <w:color w:val="auto"/>
          <w:sz w:val="24"/>
          <w:szCs w:val="24"/>
          <w:highlight w:val="none"/>
        </w:rPr>
        <w:t>1套SCR烟气处理装置</w:t>
      </w:r>
      <w:r>
        <w:rPr>
          <w:rFonts w:hint="eastAsia" w:ascii="宋体" w:hAnsi="宋体"/>
          <w:color w:val="auto"/>
          <w:sz w:val="24"/>
          <w:szCs w:val="24"/>
          <w:highlight w:val="none"/>
        </w:rPr>
        <w:t>，烟气处理装置最大可满足17MW柴油机烟气量处理需求，在SCR烟气处理装置处设置旁通，直接接至烟囱。在SCR设备前配置分别配置1套温度控制单元（热风炉）用于确保进SCR反应器烟气温度满足反应要求。</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主要设备包括：SCR反应器、SCR混合管路、计量单元、泵组单元、控制单元、尿素日用罐、尿素储存罐、尿素输送泵、电磁阀等。</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5.9低压配电系统 </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低速机辅机系统供电，由车间内变配电室提供，本次实施范围从低速机辅机系统房内已设计的母线槽（2Lpd）上取电，新增2个母线插接箱。低速机台位按照实际配套的2套辅助系统设备配置配电。</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主要元器件采用良信等国产优质品牌；变频、软启采用雷诺尔等同等优质品牌，仪表采用安科瑞等同等优质品牌。</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大于45KW以上的非变频电机回路，采用软启动装置，其余回路采用接触器+热继电器。</w:t>
      </w:r>
    </w:p>
    <w:p>
      <w:pPr>
        <w:spacing w:line="360" w:lineRule="auto"/>
        <w:ind w:firstLine="0" w:firstLineChars="0"/>
        <w:rPr>
          <w:rFonts w:ascii="宋体" w:hAnsi="宋体"/>
          <w:b/>
          <w:bCs/>
          <w:color w:val="auto"/>
          <w:sz w:val="24"/>
          <w:szCs w:val="24"/>
          <w:highlight w:val="none"/>
        </w:rPr>
      </w:pPr>
      <w:bookmarkStart w:id="281" w:name="_Toc22406"/>
      <w:bookmarkStart w:id="282" w:name="_Toc22839"/>
      <w:bookmarkStart w:id="283" w:name="_Toc1556656752"/>
      <w:bookmarkStart w:id="284" w:name="_Toc23931"/>
      <w:bookmarkStart w:id="285" w:name="_Toc954528019"/>
      <w:bookmarkStart w:id="286" w:name="_Toc20346"/>
      <w:bookmarkStart w:id="287" w:name="_Toc14283"/>
      <w:bookmarkStart w:id="288" w:name="_Toc9291"/>
      <w:bookmarkStart w:id="289" w:name="_Toc4222"/>
      <w:bookmarkStart w:id="290" w:name="_Toc1353887380"/>
      <w:bookmarkStart w:id="291" w:name="_Toc395644871"/>
      <w:bookmarkStart w:id="292" w:name="_Toc13093"/>
      <w:bookmarkStart w:id="293" w:name="_Toc4475"/>
      <w:bookmarkStart w:id="294" w:name="_Toc1110032698"/>
      <w:bookmarkStart w:id="295" w:name="_Toc1344443017"/>
      <w:bookmarkStart w:id="296" w:name="_Toc11941"/>
      <w:r>
        <w:rPr>
          <w:rFonts w:hint="eastAsia" w:ascii="宋体" w:hAnsi="宋体"/>
          <w:b/>
          <w:bCs/>
          <w:color w:val="auto"/>
          <w:sz w:val="24"/>
          <w:szCs w:val="24"/>
          <w:highlight w:val="none"/>
        </w:rPr>
        <w:t>6、各系统的具体技术要求</w:t>
      </w:r>
    </w:p>
    <w:p>
      <w:pPr>
        <w:spacing w:line="360" w:lineRule="auto"/>
        <w:ind w:firstLine="0" w:firstLineChars="0"/>
        <w:rPr>
          <w:rFonts w:ascii="宋体" w:hAnsi="宋体"/>
          <w:b/>
          <w:bCs/>
          <w:color w:val="auto"/>
          <w:sz w:val="24"/>
          <w:szCs w:val="24"/>
          <w:highlight w:val="none"/>
        </w:rPr>
      </w:pPr>
      <w:r>
        <w:rPr>
          <w:rFonts w:hint="eastAsia" w:ascii="宋体" w:hAnsi="宋体"/>
          <w:b/>
          <w:bCs/>
          <w:color w:val="auto"/>
          <w:sz w:val="24"/>
          <w:szCs w:val="24"/>
          <w:highlight w:val="none"/>
        </w:rPr>
        <w:t xml:space="preserve">  6.1燃油系统</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hint="eastAsia" w:ascii="宋体" w:hAnsi="宋体"/>
          <w:b/>
          <w:bCs/>
          <w:color w:val="auto"/>
          <w:sz w:val="24"/>
          <w:szCs w:val="24"/>
          <w:highlight w:val="none"/>
        </w:rPr>
        <w:t>具体技术要求</w:t>
      </w:r>
    </w:p>
    <w:p>
      <w:pPr>
        <w:spacing w:line="360" w:lineRule="auto"/>
        <w:ind w:firstLine="0" w:firstLineChars="0"/>
        <w:rPr>
          <w:rFonts w:ascii="宋体" w:hAnsi="宋体"/>
          <w:color w:val="auto"/>
          <w:sz w:val="24"/>
          <w:szCs w:val="24"/>
          <w:highlight w:val="none"/>
        </w:rPr>
      </w:pPr>
      <w:bookmarkStart w:id="297" w:name="_Toc16034"/>
      <w:bookmarkStart w:id="298" w:name="_Toc660"/>
      <w:bookmarkStart w:id="299" w:name="_Toc23788"/>
      <w:bookmarkStart w:id="300" w:name="_Toc39122496"/>
      <w:bookmarkStart w:id="301" w:name="_Toc23372"/>
      <w:bookmarkStart w:id="302" w:name="_Toc1192553311"/>
      <w:bookmarkStart w:id="303" w:name="_Toc709"/>
      <w:bookmarkStart w:id="304" w:name="_Toc5878"/>
      <w:bookmarkStart w:id="305" w:name="_Toc735848216"/>
      <w:r>
        <w:rPr>
          <w:rFonts w:hint="eastAsia" w:ascii="宋体" w:hAnsi="宋体"/>
          <w:color w:val="auto"/>
          <w:sz w:val="24"/>
          <w:szCs w:val="24"/>
          <w:highlight w:val="none"/>
        </w:rPr>
        <w:t xml:space="preserve">   6.1.1 功能与组成</w:t>
      </w:r>
      <w:bookmarkEnd w:id="297"/>
      <w:bookmarkEnd w:id="298"/>
      <w:bookmarkEnd w:id="299"/>
      <w:bookmarkEnd w:id="300"/>
      <w:bookmarkEnd w:id="301"/>
      <w:bookmarkEnd w:id="302"/>
      <w:bookmarkEnd w:id="303"/>
      <w:bookmarkEnd w:id="304"/>
      <w:bookmarkEnd w:id="305"/>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燃油系统范围为公共燃油系统接口至柴油机，为柴油机工作提供必要的燃料。主要设备包括柴油供给泵单元、柴油双联滤器、磁性滤器、高分子滤器、称重油箱、柴油回油冷却器、调压阀、泄放油回油泵、调压阀、安全阀等组成。</w:t>
      </w:r>
    </w:p>
    <w:p>
      <w:pPr>
        <w:spacing w:line="360" w:lineRule="auto"/>
        <w:ind w:firstLine="0" w:firstLineChars="0"/>
        <w:rPr>
          <w:rFonts w:ascii="宋体" w:hAnsi="宋体"/>
          <w:color w:val="auto"/>
          <w:sz w:val="24"/>
          <w:szCs w:val="24"/>
          <w:highlight w:val="none"/>
        </w:rPr>
      </w:pPr>
      <w:bookmarkStart w:id="306" w:name="_Toc29043"/>
      <w:bookmarkStart w:id="307" w:name="_Toc1400996375"/>
      <w:bookmarkStart w:id="308" w:name="_Toc15881"/>
      <w:bookmarkStart w:id="309" w:name="_Toc25857"/>
      <w:bookmarkStart w:id="310" w:name="_Toc23958"/>
      <w:bookmarkStart w:id="311" w:name="_Toc1952685510"/>
      <w:bookmarkStart w:id="312" w:name="_Toc26653"/>
      <w:bookmarkStart w:id="313" w:name="_Toc3627"/>
      <w:bookmarkStart w:id="314" w:name="_Toc1323307664"/>
      <w:bookmarkStart w:id="315" w:name="_Toc5276"/>
      <w:r>
        <w:rPr>
          <w:rFonts w:hint="eastAsia" w:ascii="宋体" w:hAnsi="宋体"/>
          <w:color w:val="auto"/>
          <w:sz w:val="24"/>
          <w:szCs w:val="24"/>
          <w:highlight w:val="none"/>
        </w:rPr>
        <w:t xml:space="preserve">   6.1.2 系统技术</w:t>
      </w:r>
      <w:bookmarkEnd w:id="306"/>
      <w:bookmarkEnd w:id="307"/>
      <w:bookmarkEnd w:id="308"/>
      <w:bookmarkEnd w:id="309"/>
      <w:bookmarkEnd w:id="310"/>
      <w:bookmarkEnd w:id="311"/>
      <w:bookmarkEnd w:id="312"/>
      <w:bookmarkEnd w:id="313"/>
      <w:bookmarkEnd w:id="314"/>
      <w:bookmarkEnd w:id="315"/>
      <w:r>
        <w:rPr>
          <w:rFonts w:hint="eastAsia" w:ascii="宋体" w:hAnsi="宋体"/>
          <w:color w:val="auto"/>
          <w:sz w:val="24"/>
          <w:szCs w:val="24"/>
          <w:highlight w:val="none"/>
        </w:rPr>
        <w:t>要求</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1）称重油箱</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两件，一件用于日用燃油储存，一件用于收集测试过程泄漏油；油箱容积应能满足本辅机系统的试验要求，油箱容积应满足试验流量要求；油箱应具备阻火呼吸器，呼吸器加装空气滤清器。在具备防尘功用的同时能保证油箱内压力、油分子浓度不会过高；</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辅机系统油箱均集成快插接口用于加油；验器油箱均包含放油口、排污口，并具备液位指示器、液位报警器等，对油箱液压油情况进行监测；辅机系统油箱应具备气泡消除、防止沉淀物反翻的装置，保证进入油源泵的介质油干净无气泡；油箱与其余管道连接考虑软管或其余形式的挠性接头，确保称重精度。</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2）过滤器</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油滤设置两级过滤，泵进口端过滤精度不低于200μm，产品进口端过滤精度不低于10μm，滤芯滤网使用不锈钢滤网；油滤滤芯能方便拆卸及更换，有较好的维护性，辅机系统油滤接口应保持通用，便于后期更换维护；油滤必须具备一定的纳污能力；油滤必须具备电子压差报警器。</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3）供油泵</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流量不低于6.72m³/h，压力1.0MPa，一用一备。供油压力可调节。</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4）换热器</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换热器功能是对流经柴油机的燃油进行冷却，满足产品试验时对燃油温度的要求。采用外部循环冷却水降温的换热器对燃油进行降温，满足回油温度要求。</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极限工况：燃油进出口温度90/50℃，流量6.6m³/h。</w:t>
      </w:r>
    </w:p>
    <w:p>
      <w:pPr>
        <w:spacing w:line="360" w:lineRule="auto"/>
        <w:ind w:firstLine="0" w:firstLineChars="0"/>
        <w:rPr>
          <w:rFonts w:ascii="宋体" w:hAnsi="宋体"/>
          <w:b/>
          <w:bCs/>
          <w:color w:val="auto"/>
          <w:sz w:val="24"/>
          <w:szCs w:val="24"/>
          <w:highlight w:val="none"/>
        </w:rPr>
      </w:pPr>
      <w:bookmarkStart w:id="316" w:name="_Toc5239"/>
      <w:bookmarkStart w:id="317" w:name="_Toc1893054700"/>
      <w:bookmarkStart w:id="318" w:name="_Toc5584"/>
      <w:bookmarkStart w:id="319" w:name="_Toc26050"/>
      <w:bookmarkStart w:id="320" w:name="_Toc1755537972"/>
      <w:bookmarkStart w:id="321" w:name="_Toc18095"/>
      <w:bookmarkStart w:id="322" w:name="_Toc118"/>
      <w:bookmarkStart w:id="323" w:name="_Toc18206"/>
      <w:bookmarkStart w:id="324" w:name="_Toc9008"/>
      <w:bookmarkStart w:id="325" w:name="_Toc1406240616"/>
      <w:bookmarkStart w:id="326" w:name="_Toc602356019"/>
      <w:bookmarkStart w:id="327" w:name="_Toc57087616"/>
      <w:bookmarkStart w:id="328" w:name="_Toc2502"/>
      <w:bookmarkStart w:id="329" w:name="_Toc2078524190"/>
      <w:bookmarkStart w:id="330" w:name="_Toc28762"/>
      <w:bookmarkStart w:id="331" w:name="_Toc748939680"/>
      <w:bookmarkStart w:id="332" w:name="_Toc29503"/>
      <w:r>
        <w:rPr>
          <w:rFonts w:hint="eastAsia" w:ascii="宋体" w:hAnsi="宋体"/>
          <w:b/>
          <w:bCs/>
          <w:color w:val="auto"/>
          <w:sz w:val="24"/>
          <w:szCs w:val="24"/>
          <w:highlight w:val="none"/>
        </w:rPr>
        <w:t xml:space="preserve">  6.2. 润滑油系统</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hint="eastAsia" w:ascii="宋体" w:hAnsi="宋体"/>
          <w:b/>
          <w:bCs/>
          <w:color w:val="auto"/>
          <w:sz w:val="24"/>
          <w:szCs w:val="24"/>
          <w:highlight w:val="none"/>
        </w:rPr>
        <w:t>具体技术要求</w:t>
      </w:r>
    </w:p>
    <w:p>
      <w:pPr>
        <w:spacing w:line="360" w:lineRule="auto"/>
        <w:ind w:firstLine="0" w:firstLineChars="0"/>
        <w:rPr>
          <w:rFonts w:ascii="宋体" w:hAnsi="宋体"/>
          <w:color w:val="auto"/>
          <w:sz w:val="24"/>
          <w:szCs w:val="24"/>
          <w:highlight w:val="none"/>
        </w:rPr>
      </w:pPr>
      <w:bookmarkStart w:id="333" w:name="_Toc18565"/>
      <w:bookmarkStart w:id="334" w:name="_Toc23110"/>
      <w:bookmarkStart w:id="335" w:name="_Toc15186"/>
      <w:bookmarkStart w:id="336" w:name="_Toc12727"/>
      <w:bookmarkStart w:id="337" w:name="_Toc1501450444"/>
      <w:bookmarkStart w:id="338" w:name="_Toc1525659745"/>
      <w:bookmarkStart w:id="339" w:name="_Toc1209125362"/>
      <w:bookmarkStart w:id="340" w:name="_Toc29474"/>
      <w:bookmarkStart w:id="341" w:name="_Toc9881"/>
      <w:r>
        <w:rPr>
          <w:rFonts w:hint="eastAsia" w:ascii="宋体" w:hAnsi="宋体"/>
          <w:color w:val="auto"/>
          <w:sz w:val="24"/>
          <w:szCs w:val="24"/>
          <w:highlight w:val="none"/>
        </w:rPr>
        <w:t xml:space="preserve">   6.2.1 功能、组成</w:t>
      </w:r>
      <w:bookmarkEnd w:id="333"/>
      <w:bookmarkEnd w:id="334"/>
      <w:bookmarkEnd w:id="335"/>
      <w:bookmarkEnd w:id="336"/>
      <w:bookmarkEnd w:id="337"/>
      <w:bookmarkEnd w:id="338"/>
      <w:bookmarkEnd w:id="339"/>
      <w:bookmarkEnd w:id="340"/>
      <w:bookmarkEnd w:id="341"/>
      <w:r>
        <w:rPr>
          <w:rFonts w:hint="eastAsia" w:ascii="宋体" w:hAnsi="宋体"/>
          <w:color w:val="auto"/>
          <w:sz w:val="24"/>
          <w:szCs w:val="24"/>
          <w:highlight w:val="none"/>
        </w:rPr>
        <w:t>、部分设备要求</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润滑油系统为柴油机重要部件提供润滑、冷却，保证机组安全与稳定的运行。润滑油系统主要由滑油箱、润滑油供油泵、自动反冲过滤器、润滑油超精滤器、润滑油冷却器、润滑油磁滤器、润滑油粗滤器、驳油系统、分油系统、温控阀及相关附件组成。</w:t>
      </w:r>
    </w:p>
    <w:p>
      <w:pPr>
        <w:spacing w:line="360" w:lineRule="auto"/>
        <w:ind w:firstLine="0" w:firstLineChars="0"/>
        <w:rPr>
          <w:rFonts w:ascii="宋体" w:hAnsi="宋体"/>
          <w:color w:val="auto"/>
          <w:sz w:val="24"/>
          <w:szCs w:val="24"/>
          <w:highlight w:val="none"/>
        </w:rPr>
      </w:pPr>
      <w:bookmarkStart w:id="342" w:name="_Toc2565"/>
      <w:bookmarkStart w:id="343" w:name="_Toc794817545"/>
      <w:bookmarkStart w:id="344" w:name="_Toc1832585277"/>
      <w:bookmarkStart w:id="345" w:name="_Toc14524"/>
      <w:bookmarkStart w:id="346" w:name="_Toc972895421"/>
      <w:bookmarkStart w:id="347" w:name="_Toc23445"/>
      <w:bookmarkStart w:id="348" w:name="_Toc3793"/>
      <w:bookmarkStart w:id="349" w:name="_Toc4748"/>
      <w:bookmarkStart w:id="350" w:name="_Toc20875"/>
      <w:r>
        <w:rPr>
          <w:rFonts w:hint="eastAsia" w:ascii="宋体" w:hAnsi="宋体"/>
          <w:color w:val="auto"/>
          <w:sz w:val="24"/>
          <w:szCs w:val="24"/>
          <w:highlight w:val="none"/>
        </w:rPr>
        <w:t xml:space="preserve">   6.2.2 系统技术</w:t>
      </w:r>
      <w:bookmarkEnd w:id="342"/>
      <w:bookmarkEnd w:id="343"/>
      <w:bookmarkEnd w:id="344"/>
      <w:bookmarkEnd w:id="345"/>
      <w:bookmarkEnd w:id="346"/>
      <w:bookmarkEnd w:id="347"/>
      <w:bookmarkEnd w:id="348"/>
      <w:bookmarkEnd w:id="349"/>
      <w:bookmarkEnd w:id="350"/>
      <w:r>
        <w:rPr>
          <w:rFonts w:hint="eastAsia" w:ascii="宋体" w:hAnsi="宋体"/>
          <w:color w:val="auto"/>
          <w:sz w:val="24"/>
          <w:szCs w:val="24"/>
          <w:highlight w:val="none"/>
        </w:rPr>
        <w:t>要求</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1）滑油箱</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滑油箱有效容积60m³，油箱尺寸应满足场地和试验要求；油箱应具备排气口，排气口需加装空气滤清器。在具备防尘功用的同时能保证油箱内压力、油分子浓度不会过高；辅机系统油箱均集成快插接口用于加油；验器油箱均包含放油口、排污口，并具备液位指示器、液位报警器等，对油箱液压油情况进行监测；辅机系统油箱应具备气泡消除、防止沉淀物反翻的装置，保证进入油源泵的介质油干净无气泡；</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2）过滤器</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油滤设置四级过滤，泵进口端过滤精度不低于200μm，泵出口端配置50微米的自动反冲过滤器和10微米的超精滤器，产品进口端过滤精度不低于10μm，滤芯滤网使用不锈钢滤网；泵后配磁性过滤器，吸附介质中的金属杂质。油滤滤芯能方便拆卸及更换，有较好的维护性，辅机系统油滤接口应保持通用，便于后期更换维护；油滤必须具备一定的纳污能力；油滤必须具备电子压差报警器；综合考虑滤器精度，要求串油时间3天内系统滑油清洁度达到GJB420B-2015规定的8级。</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3）供油泵</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流量314.7m³/h，工作压力0.8MPa，3台。</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供油压力流量可变频调节。</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4）换热器</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换热器功能是对流经柴油机的滑油进行冷却，满足产品试验时对滑油温度的要求。采用外部循环冷却水降温的换热器对滑油进行降温，满足回油温度要求。</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极限工况：带走热量1439kw，压力1MPa，耐温110℃以上，进出口温度60/48℃。</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5）加热系统</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对油箱的滑油进行循环加热。加热一箱滑油（45t）至试机温度时长不超过2h，且确保加热器正常工作条件下任意时间段滑油加热温度不超过120℃；加热系统管道要求进行保温。</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6）驳油系统</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两套润滑油系统共用，带200微米粗滤，预留排油接口；流量不小于10m³/h，压力不低于0.4MPa。</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7）分油系统</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用于分离含水含固体杂质的润滑油，滑油处理速度5m³/h， 加热器130kW 加热温度55℃～95℃，处理后的润滑油回到油箱继续使用。</w:t>
      </w:r>
    </w:p>
    <w:p>
      <w:pPr>
        <w:spacing w:line="360" w:lineRule="auto"/>
        <w:ind w:firstLine="0" w:firstLineChars="0"/>
        <w:rPr>
          <w:rFonts w:ascii="宋体" w:hAnsi="宋体"/>
          <w:b/>
          <w:bCs/>
          <w:color w:val="auto"/>
          <w:sz w:val="24"/>
          <w:szCs w:val="24"/>
          <w:highlight w:val="none"/>
        </w:rPr>
      </w:pPr>
      <w:bookmarkStart w:id="351" w:name="_Toc110630145"/>
      <w:bookmarkStart w:id="352" w:name="_Toc1652642886"/>
      <w:bookmarkStart w:id="353" w:name="_Toc26459"/>
      <w:bookmarkStart w:id="354" w:name="_Toc1488057781"/>
      <w:bookmarkStart w:id="355" w:name="_Toc1647651487"/>
      <w:bookmarkStart w:id="356" w:name="_Toc369207788"/>
      <w:bookmarkStart w:id="357" w:name="_Toc1921864476"/>
      <w:bookmarkStart w:id="358" w:name="_Toc9221"/>
      <w:bookmarkStart w:id="359" w:name="_Toc21244"/>
      <w:bookmarkStart w:id="360" w:name="_Toc22646"/>
      <w:bookmarkStart w:id="361" w:name="_Toc10452"/>
      <w:bookmarkStart w:id="362" w:name="_Toc9657"/>
      <w:bookmarkStart w:id="363" w:name="_Toc5296"/>
      <w:bookmarkStart w:id="364" w:name="_Toc356"/>
      <w:bookmarkStart w:id="365" w:name="_Toc2117656547"/>
      <w:bookmarkStart w:id="366" w:name="_Toc15127"/>
      <w:bookmarkStart w:id="367" w:name="_Toc891"/>
      <w:r>
        <w:rPr>
          <w:rFonts w:hint="eastAsia" w:ascii="宋体" w:hAnsi="宋体"/>
          <w:b/>
          <w:bCs/>
          <w:color w:val="auto"/>
          <w:sz w:val="24"/>
          <w:szCs w:val="24"/>
          <w:highlight w:val="none"/>
        </w:rPr>
        <w:t xml:space="preserve">  6.3 缸套油系统</w:t>
      </w:r>
      <w:bookmarkEnd w:id="351"/>
      <w:bookmarkEnd w:id="352"/>
      <w:bookmarkEnd w:id="353"/>
      <w:bookmarkEnd w:id="354"/>
      <w:bookmarkEnd w:id="355"/>
      <w:bookmarkEnd w:id="356"/>
      <w:bookmarkEnd w:id="357"/>
      <w:bookmarkEnd w:id="358"/>
      <w:bookmarkEnd w:id="359"/>
      <w:r>
        <w:rPr>
          <w:rFonts w:hint="eastAsia" w:ascii="宋体" w:hAnsi="宋体"/>
          <w:b/>
          <w:bCs/>
          <w:color w:val="auto"/>
          <w:sz w:val="24"/>
          <w:szCs w:val="24"/>
          <w:highlight w:val="none"/>
        </w:rPr>
        <w:t>具体技术要求</w:t>
      </w:r>
    </w:p>
    <w:p>
      <w:pPr>
        <w:spacing w:line="360" w:lineRule="auto"/>
        <w:ind w:firstLine="0" w:firstLineChars="0"/>
        <w:rPr>
          <w:rFonts w:ascii="宋体" w:hAnsi="宋体"/>
          <w:color w:val="auto"/>
          <w:sz w:val="24"/>
          <w:szCs w:val="24"/>
          <w:highlight w:val="none"/>
        </w:rPr>
      </w:pPr>
      <w:bookmarkStart w:id="368" w:name="_Toc1649218325"/>
      <w:bookmarkStart w:id="369" w:name="_Toc1282644963"/>
      <w:bookmarkStart w:id="370" w:name="_Toc660220041"/>
      <w:r>
        <w:rPr>
          <w:rFonts w:hint="eastAsia" w:ascii="宋体" w:hAnsi="宋体"/>
          <w:color w:val="auto"/>
          <w:sz w:val="24"/>
          <w:szCs w:val="24"/>
          <w:highlight w:val="none"/>
        </w:rPr>
        <w:t xml:space="preserve">   6.3.1 系统功能及组成</w:t>
      </w:r>
      <w:bookmarkEnd w:id="368"/>
      <w:bookmarkEnd w:id="369"/>
      <w:bookmarkEnd w:id="370"/>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缸套油系统主要实现气缸油供油、储存及温度控制；气缸油A、B系统共用1个缸套油油箱。主要设备包括：气缸油储存箱、气缸油供油泵、加热装置、过滤器、高位气缸油油箱和流量计等。</w:t>
      </w:r>
    </w:p>
    <w:p>
      <w:pPr>
        <w:spacing w:line="360" w:lineRule="auto"/>
        <w:ind w:firstLine="0" w:firstLineChars="0"/>
        <w:rPr>
          <w:rFonts w:ascii="宋体" w:hAnsi="宋体"/>
          <w:color w:val="auto"/>
          <w:sz w:val="24"/>
          <w:szCs w:val="24"/>
          <w:highlight w:val="none"/>
        </w:rPr>
      </w:pPr>
      <w:bookmarkStart w:id="371" w:name="_Toc1607321885"/>
      <w:bookmarkStart w:id="372" w:name="_Toc1238670242"/>
      <w:bookmarkStart w:id="373" w:name="_Toc1354754240"/>
      <w:r>
        <w:rPr>
          <w:rFonts w:hint="eastAsia" w:ascii="宋体" w:hAnsi="宋体"/>
          <w:color w:val="auto"/>
          <w:sz w:val="24"/>
          <w:szCs w:val="24"/>
          <w:highlight w:val="none"/>
        </w:rPr>
        <w:t xml:space="preserve">   6.3.2 系统技术</w:t>
      </w:r>
      <w:bookmarkEnd w:id="371"/>
      <w:bookmarkEnd w:id="372"/>
      <w:bookmarkEnd w:id="373"/>
      <w:r>
        <w:rPr>
          <w:rFonts w:hint="eastAsia" w:ascii="宋体" w:hAnsi="宋体"/>
          <w:color w:val="auto"/>
          <w:sz w:val="24"/>
          <w:szCs w:val="24"/>
          <w:highlight w:val="none"/>
        </w:rPr>
        <w:t xml:space="preserve">要求 </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1) 日用油箱</w:t>
      </w:r>
    </w:p>
    <w:p>
      <w:pPr>
        <w:spacing w:line="360" w:lineRule="auto"/>
        <w:ind w:firstLine="480"/>
        <w:rPr>
          <w:rFonts w:ascii="宋体" w:hAnsi="宋体"/>
          <w:color w:val="auto"/>
          <w:sz w:val="24"/>
          <w:szCs w:val="24"/>
          <w:highlight w:val="none"/>
        </w:rPr>
      </w:pPr>
      <w:bookmarkStart w:id="374" w:name="_Toc1283911937"/>
      <w:bookmarkStart w:id="375" w:name="_Toc1629132673"/>
      <w:bookmarkStart w:id="376" w:name="_Toc50025135"/>
      <w:bookmarkStart w:id="377" w:name="_Toc26126"/>
      <w:bookmarkStart w:id="378" w:name="_Toc668910239"/>
      <w:bookmarkStart w:id="379" w:name="_Toc854429378"/>
      <w:bookmarkStart w:id="380" w:name="_Toc584157787"/>
      <w:bookmarkStart w:id="381" w:name="_Toc15289"/>
      <w:bookmarkStart w:id="382" w:name="_Toc24478"/>
      <w:r>
        <w:rPr>
          <w:rFonts w:hint="eastAsia" w:ascii="宋体" w:hAnsi="宋体"/>
          <w:color w:val="auto"/>
          <w:sz w:val="24"/>
          <w:szCs w:val="24"/>
          <w:highlight w:val="none"/>
        </w:rPr>
        <w:t>油箱有效容积5m³，数量1套，油箱尺寸应满足场地和试验要求；</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油箱应具备排气口，排气口需加装空气滤清器。在具备防尘功用的同时能保证油箱内压力、油分子浓度不会过高；油箱均为集成快插接口用于加油；油箱均包含放油口、排污口，并具备液位指示器、液位报警器等，对油箱液压油情况进行监测；辅机系统油箱应具备气泡消除、防止沉淀物反翻的装置，保证进入油源泵的介质油干净无气泡；</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2）高位油箱</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油箱有效容积700L，数量2套，油箱尺寸应满足场地和试验要求；油箱均包含放油口、排污口，并具备液位指示器、液位报警器等，对油箱液压油情况进行监测；油箱应具备气泡消除、防止沉淀物反翻的装置，保证进入油源泵的介质油干净无气泡；油箱具备加热功能，功率不低于10kw，可将介质加热至70℃。</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3）过滤器</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泵进口端过滤精度不低于200μm；油滤滤芯能方便拆卸及更换，有较好的维护性，辅机系统油滤接口应保持通用，便于后期更换维护；油滤必须具备一定的纳污能力；油滤必须具备电子压差报警器；综合考虑滤器精度，要求串油时间3天内系统滑油清洁度达到NAS8级。</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4）供油泵</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流量1.8m³/h，压力0.4MPa，2台。</w:t>
      </w:r>
    </w:p>
    <w:p>
      <w:pPr>
        <w:spacing w:line="360" w:lineRule="auto"/>
        <w:ind w:firstLine="0" w:firstLineChars="0"/>
        <w:rPr>
          <w:rFonts w:ascii="宋体" w:hAnsi="宋体"/>
          <w:b/>
          <w:bCs/>
          <w:color w:val="auto"/>
          <w:sz w:val="24"/>
          <w:szCs w:val="24"/>
          <w:highlight w:val="none"/>
        </w:rPr>
      </w:pPr>
      <w:r>
        <w:rPr>
          <w:rFonts w:hint="eastAsia" w:ascii="宋体" w:hAnsi="宋体"/>
          <w:b/>
          <w:bCs/>
          <w:color w:val="auto"/>
          <w:sz w:val="24"/>
          <w:szCs w:val="24"/>
          <w:highlight w:val="none"/>
        </w:rPr>
        <w:t xml:space="preserve">  6.4 发动机冷却水系统</w:t>
      </w:r>
      <w:bookmarkEnd w:id="360"/>
      <w:bookmarkEnd w:id="361"/>
      <w:bookmarkEnd w:id="362"/>
      <w:bookmarkEnd w:id="363"/>
      <w:bookmarkEnd w:id="364"/>
      <w:bookmarkEnd w:id="365"/>
      <w:bookmarkEnd w:id="366"/>
      <w:bookmarkEnd w:id="367"/>
      <w:bookmarkEnd w:id="374"/>
      <w:bookmarkEnd w:id="375"/>
      <w:bookmarkEnd w:id="376"/>
      <w:bookmarkEnd w:id="377"/>
      <w:bookmarkEnd w:id="378"/>
      <w:bookmarkEnd w:id="379"/>
      <w:bookmarkEnd w:id="380"/>
      <w:bookmarkEnd w:id="381"/>
      <w:bookmarkEnd w:id="382"/>
      <w:r>
        <w:rPr>
          <w:rFonts w:hint="eastAsia" w:ascii="宋体" w:hAnsi="宋体"/>
          <w:b/>
          <w:bCs/>
          <w:color w:val="auto"/>
          <w:sz w:val="24"/>
          <w:szCs w:val="24"/>
          <w:highlight w:val="none"/>
        </w:rPr>
        <w:t>具体技术要求</w:t>
      </w:r>
    </w:p>
    <w:p>
      <w:pPr>
        <w:spacing w:line="360" w:lineRule="auto"/>
        <w:ind w:firstLine="0" w:firstLineChars="0"/>
        <w:rPr>
          <w:rFonts w:ascii="宋体" w:hAnsi="宋体"/>
          <w:color w:val="auto"/>
          <w:sz w:val="24"/>
          <w:szCs w:val="24"/>
          <w:highlight w:val="none"/>
        </w:rPr>
      </w:pPr>
      <w:bookmarkStart w:id="383" w:name="_Toc13548"/>
      <w:bookmarkStart w:id="384" w:name="_Toc1801756005"/>
      <w:bookmarkStart w:id="385" w:name="_Toc20034"/>
      <w:bookmarkStart w:id="386" w:name="_Toc2106580308"/>
      <w:bookmarkStart w:id="387" w:name="_Toc10343"/>
      <w:bookmarkStart w:id="388" w:name="_Toc26912"/>
      <w:bookmarkStart w:id="389" w:name="_Toc7978"/>
      <w:bookmarkStart w:id="390" w:name="_Toc31848"/>
      <w:bookmarkStart w:id="391" w:name="_Toc2113236615"/>
      <w:r>
        <w:rPr>
          <w:rFonts w:hint="eastAsia" w:ascii="宋体" w:hAnsi="宋体"/>
          <w:color w:val="auto"/>
          <w:sz w:val="24"/>
          <w:szCs w:val="24"/>
          <w:highlight w:val="none"/>
        </w:rPr>
        <w:t xml:space="preserve">   6.4.1 系统功能及组成</w:t>
      </w:r>
      <w:bookmarkEnd w:id="383"/>
      <w:bookmarkEnd w:id="384"/>
      <w:bookmarkEnd w:id="385"/>
      <w:bookmarkEnd w:id="386"/>
      <w:bookmarkEnd w:id="387"/>
      <w:bookmarkEnd w:id="388"/>
      <w:bookmarkEnd w:id="389"/>
      <w:bookmarkEnd w:id="390"/>
      <w:bookmarkEnd w:id="391"/>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冷却水系统为柴油机重要部件提供冷却，保证机组安全与稳定的运行，冷却介质为淡水。冷却水系统包括高温水系统、低温水系统。高温水系统为闭式循环，低温水系统为开式循环，从冷却水池取水，用于冷却高温水、滑油、增压空气冷却器，通过外围循环冷却水经公共系统冷却塔冷却。</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高温水系统主要设备包括高温水冷却器、高温水泵模块、高温水预热模块、高温水电动温控阀、高温水储存水箱、高温水膨胀水箱和流量计等。</w:t>
      </w:r>
    </w:p>
    <w:p>
      <w:pPr>
        <w:spacing w:line="360" w:lineRule="auto"/>
        <w:ind w:firstLine="0" w:firstLineChars="0"/>
        <w:rPr>
          <w:rFonts w:ascii="宋体" w:hAnsi="宋体"/>
          <w:color w:val="auto"/>
          <w:sz w:val="24"/>
          <w:szCs w:val="24"/>
          <w:highlight w:val="none"/>
        </w:rPr>
      </w:pPr>
      <w:bookmarkStart w:id="392" w:name="_Toc883497077"/>
      <w:bookmarkStart w:id="393" w:name="_Toc28118"/>
      <w:bookmarkStart w:id="394" w:name="_Toc17907"/>
      <w:bookmarkStart w:id="395" w:name="_Toc7995"/>
      <w:bookmarkStart w:id="396" w:name="_Toc3138"/>
      <w:bookmarkStart w:id="397" w:name="_Toc31109"/>
      <w:bookmarkStart w:id="398" w:name="_Toc1389774065"/>
      <w:bookmarkStart w:id="399" w:name="_Toc706552808"/>
      <w:bookmarkStart w:id="400" w:name="_Toc23563"/>
      <w:r>
        <w:rPr>
          <w:rFonts w:hint="eastAsia" w:ascii="宋体" w:hAnsi="宋体"/>
          <w:color w:val="auto"/>
          <w:sz w:val="24"/>
          <w:szCs w:val="24"/>
          <w:highlight w:val="none"/>
        </w:rPr>
        <w:t xml:space="preserve">   6.4.2 系统技术</w:t>
      </w:r>
      <w:bookmarkEnd w:id="392"/>
      <w:bookmarkEnd w:id="393"/>
      <w:bookmarkEnd w:id="394"/>
      <w:bookmarkEnd w:id="395"/>
      <w:bookmarkEnd w:id="396"/>
      <w:bookmarkEnd w:id="397"/>
      <w:bookmarkEnd w:id="398"/>
      <w:bookmarkEnd w:id="399"/>
      <w:bookmarkEnd w:id="400"/>
      <w:r>
        <w:rPr>
          <w:rFonts w:hint="eastAsia" w:ascii="宋体" w:hAnsi="宋体"/>
          <w:color w:val="auto"/>
          <w:sz w:val="24"/>
          <w:szCs w:val="24"/>
          <w:highlight w:val="none"/>
        </w:rPr>
        <w:t>要求</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低速机发动机循环冷却水供水采用干管供水，本期N01-N04台位系统总设计流量为Q=1500m³/h，采用开式系统。</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循环冷却水水温：t1=35℃、t2=55℃、Δt=20℃。水泵采用变频水泵，均采用专用变频电机，水泵自带变频控制柜。水泵、冷却塔的安装应采取隔振措施，由生产厂家配套供应，施工时生产厂家负责安装调试并交付使用。</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循环冷却水供水、回水干管设置温度传感器，监测水温，通过温度控制冷却水塔风机的启停；循环冷却水供水、回水干管设置压力传感器，根据压力变化控制循环泵的转速；</w:t>
      </w:r>
      <w:bookmarkStart w:id="401" w:name="_Toc19575"/>
      <w:bookmarkStart w:id="402" w:name="_Toc10328"/>
      <w:bookmarkStart w:id="403" w:name="_Toc30512"/>
      <w:bookmarkStart w:id="404" w:name="_Toc6535"/>
      <w:bookmarkStart w:id="405" w:name="_Toc2033706234"/>
      <w:bookmarkStart w:id="406" w:name="_Toc1525548890"/>
      <w:bookmarkStart w:id="407" w:name="_Toc25492"/>
      <w:bookmarkStart w:id="408" w:name="_Toc920429528"/>
      <w:bookmarkStart w:id="409" w:name="_Toc15874"/>
      <w:bookmarkStart w:id="410" w:name="_Toc16475"/>
      <w:bookmarkStart w:id="411" w:name="_Toc590855857"/>
      <w:bookmarkStart w:id="412" w:name="_Toc5268"/>
      <w:bookmarkStart w:id="413" w:name="_Toc22100"/>
      <w:bookmarkStart w:id="414" w:name="_Toc1724897694"/>
      <w:bookmarkStart w:id="415" w:name="_Toc1943125296"/>
      <w:bookmarkStart w:id="416" w:name="_Toc239700067"/>
      <w:bookmarkStart w:id="417" w:name="_Toc1524"/>
    </w:p>
    <w:p>
      <w:pPr>
        <w:spacing w:line="360" w:lineRule="auto"/>
        <w:ind w:firstLine="0" w:firstLineChars="0"/>
        <w:rPr>
          <w:rFonts w:ascii="宋体" w:hAnsi="宋体"/>
          <w:color w:val="auto"/>
          <w:sz w:val="24"/>
          <w:szCs w:val="24"/>
          <w:highlight w:val="none"/>
        </w:rPr>
      </w:pPr>
      <w:r>
        <w:rPr>
          <w:rFonts w:hint="eastAsia" w:ascii="宋体" w:hAnsi="宋体"/>
          <w:b/>
          <w:bCs/>
          <w:color w:val="auto"/>
          <w:sz w:val="24"/>
          <w:szCs w:val="24"/>
          <w:highlight w:val="none"/>
        </w:rPr>
        <w:t xml:space="preserve">  6.5 排气系统</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hint="eastAsia" w:ascii="宋体" w:hAnsi="宋体"/>
          <w:b/>
          <w:bCs/>
          <w:color w:val="auto"/>
          <w:sz w:val="24"/>
          <w:szCs w:val="24"/>
          <w:highlight w:val="none"/>
        </w:rPr>
        <w:t>具体技术要求</w:t>
      </w:r>
    </w:p>
    <w:p>
      <w:pPr>
        <w:spacing w:line="360" w:lineRule="auto"/>
        <w:ind w:firstLine="0" w:firstLineChars="0"/>
        <w:rPr>
          <w:rFonts w:ascii="宋体" w:hAnsi="宋体"/>
          <w:color w:val="auto"/>
          <w:sz w:val="24"/>
          <w:szCs w:val="24"/>
          <w:highlight w:val="none"/>
        </w:rPr>
      </w:pPr>
      <w:bookmarkStart w:id="418" w:name="_Toc5674"/>
      <w:bookmarkStart w:id="419" w:name="_Toc5696"/>
      <w:bookmarkStart w:id="420" w:name="_Toc1808054282"/>
      <w:bookmarkStart w:id="421" w:name="_Toc4749"/>
      <w:bookmarkStart w:id="422" w:name="_Toc2117160179"/>
      <w:bookmarkStart w:id="423" w:name="_Toc13532"/>
      <w:bookmarkStart w:id="424" w:name="_Toc29957"/>
      <w:bookmarkStart w:id="425" w:name="_Toc7765"/>
      <w:bookmarkStart w:id="426" w:name="_Toc448719036"/>
      <w:r>
        <w:rPr>
          <w:rFonts w:hint="eastAsia" w:ascii="宋体" w:hAnsi="宋体"/>
          <w:color w:val="auto"/>
          <w:sz w:val="24"/>
          <w:szCs w:val="24"/>
          <w:highlight w:val="none"/>
        </w:rPr>
        <w:t xml:space="preserve">   6.5.1 系统功能与组成</w:t>
      </w:r>
      <w:bookmarkEnd w:id="418"/>
      <w:bookmarkEnd w:id="419"/>
      <w:bookmarkEnd w:id="420"/>
      <w:bookmarkEnd w:id="421"/>
      <w:bookmarkEnd w:id="422"/>
      <w:bookmarkEnd w:id="423"/>
      <w:bookmarkEnd w:id="424"/>
      <w:bookmarkEnd w:id="425"/>
      <w:bookmarkEnd w:id="426"/>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排气系统包括排气膨胀节、排烟管道和带有覆盖层的保温层管道配件。排气系统接至厂房辅机房顶主排气管道，每台机排气管路至排气总管布置电动阀，用于阻止烟气倒灌以及调节背压。N01-N04号辅机系统位的排烟管道接至厂房排烟总管，排烟总管与厂房外的1根烟囱连接，柴油机烟气经排烟总管至SCR系统处理，处理后通过烟囱排放至大气。N01-N04号辅机系统位总管的支管均安装有电动阀，如需同时进行2台柴油机试验时，可打开指定电动阀。</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主要设备包括：排气膨胀节、排气电动阀、电动烟气三通阀、SCR系统及尿素供给系统等。</w:t>
      </w:r>
    </w:p>
    <w:p>
      <w:pPr>
        <w:spacing w:line="360" w:lineRule="auto"/>
        <w:ind w:firstLine="0" w:firstLineChars="0"/>
        <w:rPr>
          <w:rFonts w:ascii="宋体" w:hAnsi="宋体"/>
          <w:color w:val="auto"/>
          <w:sz w:val="24"/>
          <w:szCs w:val="24"/>
          <w:highlight w:val="none"/>
        </w:rPr>
      </w:pPr>
      <w:bookmarkStart w:id="427" w:name="_Toc7048"/>
      <w:bookmarkStart w:id="428" w:name="_Toc1775800349"/>
      <w:bookmarkStart w:id="429" w:name="_Toc5244"/>
      <w:bookmarkStart w:id="430" w:name="_Toc31769"/>
      <w:bookmarkStart w:id="431" w:name="_Toc31815"/>
      <w:bookmarkStart w:id="432" w:name="_Toc721940602"/>
      <w:bookmarkStart w:id="433" w:name="_Toc17619"/>
      <w:bookmarkStart w:id="434" w:name="_Toc32502"/>
      <w:bookmarkStart w:id="435" w:name="_Toc1156370719"/>
      <w:r>
        <w:rPr>
          <w:rFonts w:hint="eastAsia" w:ascii="宋体" w:hAnsi="宋体"/>
          <w:color w:val="auto"/>
          <w:sz w:val="24"/>
          <w:szCs w:val="24"/>
          <w:highlight w:val="none"/>
        </w:rPr>
        <w:t xml:space="preserve">   6.5.2 </w:t>
      </w:r>
      <w:bookmarkEnd w:id="427"/>
      <w:bookmarkEnd w:id="428"/>
      <w:bookmarkEnd w:id="429"/>
      <w:bookmarkEnd w:id="430"/>
      <w:bookmarkEnd w:id="431"/>
      <w:bookmarkEnd w:id="432"/>
      <w:bookmarkEnd w:id="433"/>
      <w:bookmarkEnd w:id="434"/>
      <w:bookmarkEnd w:id="435"/>
      <w:r>
        <w:rPr>
          <w:rFonts w:hint="eastAsia" w:ascii="宋体" w:hAnsi="宋体"/>
          <w:color w:val="auto"/>
          <w:sz w:val="24"/>
          <w:szCs w:val="24"/>
          <w:highlight w:val="none"/>
        </w:rPr>
        <w:t>系统技术要求</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（1）SCR系统</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最大排气处理量不低于144165kg/h；尾气经过SCR后处理后满足《DB44∕27-2001 大气污染物排放限值》要求。</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尿素驳运:尿素储罐10m³，尿素日用罐1.5m³，可通过驳运单元将尿素从储罐添加至日用管，流量不小于3m³/h。</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尿素添加系统：配置加注单元，向尿素储罐添加尿素。配置尿素供给单元、计量单元、喷枪，从尿素日用管向SCR系统添加反应所需的尿素。</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（2）空气系统</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厂房内已配置3MPa压缩空气，需配置0.5m³储气罐3套，压力3MPa；其中两件并联使用，通过减压阀、过滤器之后通往SCR系统进行吹灰。其中一件通过减压阀、过滤器之后通往尿素计量单元、喷枪进行尿素添加。压力流量与SCR系统适配。</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（3）管路及附件</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四套柴油机排气口通过管道到达SCR系统，处理后的气体通过烟囱排放。四套柴油机排气支管口设置膨胀节和调节阀、压力传感器，用于调节排气背压。柴油机排气主管需要3件耐高温蝶阀，6件膨胀节。</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（4）燃油系统</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从柴油输送总管取油，配置300L油箱，通过电机泵组、阀组、风机、烧嘴将柴油送至SCR系统进行燃烧反应。压力流量与SCR系统适配。</w:t>
      </w:r>
      <w:bookmarkStart w:id="436" w:name="_Toc8352"/>
      <w:bookmarkStart w:id="437" w:name="_Toc6416"/>
      <w:bookmarkStart w:id="438" w:name="_Toc25528"/>
      <w:bookmarkStart w:id="439" w:name="_Toc413201941"/>
      <w:bookmarkStart w:id="440" w:name="_Toc286313135"/>
      <w:bookmarkStart w:id="441" w:name="_Toc24370"/>
      <w:bookmarkStart w:id="442" w:name="_Toc7237"/>
      <w:bookmarkStart w:id="443" w:name="_Toc1486646058"/>
      <w:bookmarkStart w:id="444" w:name="_Toc643983579"/>
      <w:bookmarkStart w:id="445" w:name="_Toc1492632236"/>
      <w:bookmarkStart w:id="446" w:name="_Toc1036893371"/>
      <w:bookmarkStart w:id="447" w:name="_Toc18728"/>
      <w:bookmarkStart w:id="448" w:name="_Toc25973"/>
      <w:bookmarkStart w:id="449" w:name="_Toc31652"/>
      <w:bookmarkStart w:id="450" w:name="_Toc6203"/>
      <w:bookmarkStart w:id="451" w:name="_Toc6880"/>
      <w:bookmarkStart w:id="452" w:name="_Toc984589445"/>
      <w:bookmarkStart w:id="453" w:name="_Toc2002571081"/>
    </w:p>
    <w:p>
      <w:pPr>
        <w:spacing w:line="360" w:lineRule="auto"/>
        <w:ind w:firstLine="0" w:firstLineChars="0"/>
        <w:rPr>
          <w:rFonts w:ascii="宋体" w:hAnsi="宋体"/>
          <w:color w:val="auto"/>
          <w:sz w:val="24"/>
          <w:szCs w:val="24"/>
          <w:highlight w:val="none"/>
        </w:rPr>
      </w:pPr>
      <w:r>
        <w:rPr>
          <w:rFonts w:hint="eastAsia" w:ascii="宋体" w:hAnsi="宋体"/>
          <w:b/>
          <w:bCs/>
          <w:color w:val="auto"/>
          <w:sz w:val="24"/>
          <w:szCs w:val="24"/>
          <w:highlight w:val="none"/>
        </w:rPr>
        <w:t xml:space="preserve">  6.6 外循环冷却水及水力测功器供水系统</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hint="eastAsia" w:ascii="宋体" w:hAnsi="宋体"/>
          <w:b/>
          <w:bCs/>
          <w:color w:val="auto"/>
          <w:sz w:val="24"/>
          <w:szCs w:val="24"/>
          <w:highlight w:val="none"/>
        </w:rPr>
        <w:t>具体技术要求</w:t>
      </w:r>
    </w:p>
    <w:p>
      <w:pPr>
        <w:spacing w:line="360" w:lineRule="auto"/>
        <w:ind w:firstLine="0" w:firstLineChars="0"/>
        <w:rPr>
          <w:rFonts w:ascii="宋体" w:hAnsi="宋体"/>
          <w:color w:val="auto"/>
          <w:sz w:val="24"/>
          <w:szCs w:val="24"/>
          <w:highlight w:val="none"/>
        </w:rPr>
      </w:pPr>
      <w:bookmarkStart w:id="454" w:name="_Toc436273961"/>
      <w:bookmarkStart w:id="455" w:name="_Toc2719"/>
      <w:bookmarkStart w:id="456" w:name="_Toc1153048011"/>
      <w:bookmarkStart w:id="457" w:name="_Toc20063"/>
      <w:bookmarkStart w:id="458" w:name="_Toc3545"/>
      <w:bookmarkStart w:id="459" w:name="_Toc20114"/>
      <w:bookmarkStart w:id="460" w:name="_Toc556069602"/>
      <w:bookmarkStart w:id="461" w:name="_Toc17537"/>
      <w:bookmarkStart w:id="462" w:name="_Toc18378"/>
      <w:r>
        <w:rPr>
          <w:rFonts w:hint="eastAsia" w:ascii="宋体" w:hAnsi="宋体"/>
          <w:color w:val="auto"/>
          <w:sz w:val="24"/>
          <w:szCs w:val="24"/>
          <w:highlight w:val="none"/>
        </w:rPr>
        <w:t xml:space="preserve">   6.6.1系统功能及组成</w:t>
      </w:r>
      <w:bookmarkEnd w:id="454"/>
      <w:bookmarkEnd w:id="455"/>
      <w:bookmarkEnd w:id="456"/>
      <w:bookmarkEnd w:id="457"/>
      <w:bookmarkEnd w:id="458"/>
      <w:bookmarkEnd w:id="459"/>
      <w:bookmarkEnd w:id="460"/>
      <w:bookmarkEnd w:id="461"/>
      <w:bookmarkEnd w:id="462"/>
    </w:p>
    <w:p>
      <w:pPr>
        <w:spacing w:line="360" w:lineRule="auto"/>
        <w:ind w:left="420" w:firstLine="480"/>
        <w:rPr>
          <w:rFonts w:ascii="宋体" w:hAnsi="宋体"/>
          <w:color w:val="auto"/>
          <w:sz w:val="24"/>
          <w:szCs w:val="24"/>
          <w:highlight w:val="none"/>
        </w:rPr>
      </w:pPr>
      <w:bookmarkStart w:id="463" w:name="_Toc27931"/>
      <w:bookmarkStart w:id="464" w:name="_Toc2029872699"/>
      <w:bookmarkStart w:id="465" w:name="_Toc1088963292"/>
      <w:bookmarkStart w:id="466" w:name="_Toc1440815319"/>
      <w:bookmarkStart w:id="467" w:name="_Toc16916"/>
      <w:bookmarkStart w:id="468" w:name="_Toc19508"/>
      <w:bookmarkStart w:id="469" w:name="_Toc24111"/>
      <w:bookmarkStart w:id="470" w:name="_Toc24337"/>
      <w:bookmarkStart w:id="471" w:name="_Toc25950"/>
      <w:r>
        <w:rPr>
          <w:rFonts w:hint="eastAsia" w:ascii="宋体" w:hAnsi="宋体"/>
          <w:color w:val="auto"/>
          <w:sz w:val="24"/>
          <w:szCs w:val="24"/>
          <w:highlight w:val="none"/>
        </w:rPr>
        <w:t>外循环冷却水系统为各辅机系统位提供冷却水，用于冷却柴油机高温水系统、低温水系统、润滑油及柴油回油。发动机循环冷却水8个装试工位采用一套外循环冷却水系统，测功器循环水供水为独立系统，测功器重力回水，共用1根主管；配置1套自动反冲洗砂滤设备及潜污泵，用于进行循环水池内杂质过滤及污水抽出，保证冷却水清洁度。主要设备包括开式冷却塔、发动机循环水泵、测功器循环水泵、自动反冲洗砂滤设备等。</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6.6.2 系统技术要求</w:t>
      </w:r>
      <w:bookmarkEnd w:id="463"/>
      <w:bookmarkEnd w:id="464"/>
      <w:bookmarkEnd w:id="465"/>
      <w:bookmarkEnd w:id="466"/>
      <w:bookmarkEnd w:id="467"/>
      <w:bookmarkEnd w:id="468"/>
      <w:bookmarkEnd w:id="469"/>
      <w:bookmarkEnd w:id="470"/>
      <w:bookmarkEnd w:id="471"/>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根据工艺资料，低速机01、02号测试台位的测功器循环冷却水需求量分别为750m</w:t>
      </w:r>
      <w:r>
        <w:rPr>
          <w:rFonts w:hint="eastAsia" w:ascii="宋体" w:hAnsi="宋体"/>
          <w:color w:val="auto"/>
          <w:sz w:val="24"/>
          <w:szCs w:val="24"/>
          <w:highlight w:val="none"/>
          <w:eastAsianLayout w:id="6" w:combine="1"/>
        </w:rPr>
        <w:t xml:space="preserve">3   </w:t>
      </w:r>
      <w:r>
        <w:rPr>
          <w:rFonts w:hint="eastAsia" w:ascii="宋体" w:hAnsi="宋体"/>
          <w:color w:val="auto"/>
          <w:sz w:val="24"/>
          <w:szCs w:val="24"/>
          <w:highlight w:val="none"/>
        </w:rPr>
        <w:t>/h，750m</w:t>
      </w:r>
      <w:r>
        <w:rPr>
          <w:rFonts w:hint="eastAsia" w:ascii="宋体" w:hAnsi="宋体"/>
          <w:color w:val="auto"/>
          <w:sz w:val="24"/>
          <w:szCs w:val="24"/>
          <w:highlight w:val="none"/>
          <w:eastAsianLayout w:id="7" w:combine="1"/>
        </w:rPr>
        <w:t xml:space="preserve">3   </w:t>
      </w:r>
      <w:r>
        <w:rPr>
          <w:rFonts w:hint="eastAsia" w:ascii="宋体" w:hAnsi="宋体"/>
          <w:color w:val="auto"/>
          <w:sz w:val="24"/>
          <w:szCs w:val="24"/>
          <w:highlight w:val="none"/>
        </w:rPr>
        <w:t>/h；两个台位同时使用。低速机测功器循环水系统总流量为Q=1600m</w:t>
      </w:r>
      <w:r>
        <w:rPr>
          <w:rFonts w:hint="eastAsia" w:ascii="宋体" w:hAnsi="宋体"/>
          <w:color w:val="auto"/>
          <w:sz w:val="24"/>
          <w:szCs w:val="24"/>
          <w:highlight w:val="none"/>
          <w:eastAsianLayout w:id="8" w:combine="1"/>
        </w:rPr>
        <w:t xml:space="preserve">3   </w:t>
      </w:r>
      <w:r>
        <w:rPr>
          <w:rFonts w:hint="eastAsia" w:ascii="宋体" w:hAnsi="宋体"/>
          <w:color w:val="auto"/>
          <w:sz w:val="24"/>
          <w:szCs w:val="24"/>
          <w:highlight w:val="none"/>
        </w:rPr>
        <w:t>/h，采用开式系统。</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循环冷却水水温：t1=33℃、t2=48℃、Δt=15℃。循环冷水泵采用定频水泵，水泵自带控制柜。水泵、冷却塔的安装应采取隔振措施，由生产厂家配套供应，施工时生产厂家负责安装调试并交付使用。水泵、冷却塔基础待设备到货尺寸核定无误后再行浇注。</w:t>
      </w:r>
    </w:p>
    <w:p>
      <w:pPr>
        <w:spacing w:line="360" w:lineRule="auto"/>
        <w:ind w:left="420" w:firstLine="480"/>
        <w:rPr>
          <w:rFonts w:ascii="宋体" w:hAnsi="宋体"/>
          <w:color w:val="auto"/>
          <w:sz w:val="24"/>
          <w:szCs w:val="24"/>
          <w:highlight w:val="none"/>
        </w:rPr>
      </w:pPr>
      <w:r>
        <w:rPr>
          <w:rFonts w:hint="eastAsia" w:ascii="宋体" w:hAnsi="宋体"/>
          <w:color w:val="auto"/>
          <w:sz w:val="24"/>
          <w:szCs w:val="24"/>
          <w:highlight w:val="none"/>
        </w:rPr>
        <w:t>循环冷却水供水、回水干管设置温度传感器，监测水温，通过温度控制冷却水塔风机的启停；循环冷却水供水、回水干管设置压力传感器，根据压力变化控制循环泵的转速。</w:t>
      </w:r>
    </w:p>
    <w:p>
      <w:pPr>
        <w:spacing w:line="360" w:lineRule="auto"/>
        <w:ind w:firstLine="0" w:firstLineChars="0"/>
        <w:rPr>
          <w:rFonts w:ascii="宋体" w:hAnsi="宋体"/>
          <w:b/>
          <w:bCs/>
          <w:color w:val="auto"/>
          <w:sz w:val="24"/>
          <w:szCs w:val="24"/>
          <w:highlight w:val="none"/>
        </w:rPr>
      </w:pPr>
      <w:bookmarkStart w:id="472" w:name="_Toc31794"/>
      <w:bookmarkStart w:id="473" w:name="_Toc4986"/>
      <w:bookmarkStart w:id="474" w:name="_Toc1998"/>
      <w:bookmarkStart w:id="475" w:name="_Toc305927410"/>
      <w:bookmarkStart w:id="476" w:name="_Toc2910657"/>
      <w:bookmarkStart w:id="477" w:name="_Toc1587898585"/>
      <w:bookmarkStart w:id="478" w:name="_Toc25902"/>
      <w:bookmarkStart w:id="479" w:name="_Toc4181"/>
      <w:bookmarkStart w:id="480" w:name="_Toc966115517"/>
      <w:bookmarkStart w:id="481" w:name="_Toc8012"/>
      <w:bookmarkStart w:id="482" w:name="_Toc2144531398"/>
      <w:bookmarkStart w:id="483" w:name="_Toc2141277867"/>
      <w:bookmarkStart w:id="484" w:name="_Toc11868"/>
      <w:bookmarkStart w:id="485" w:name="_Toc13063"/>
      <w:bookmarkStart w:id="486" w:name="_Toc8221"/>
      <w:bookmarkStart w:id="487" w:name="_Toc897"/>
      <w:r>
        <w:rPr>
          <w:rFonts w:hint="eastAsia" w:ascii="宋体" w:hAnsi="宋体"/>
          <w:b/>
          <w:bCs/>
          <w:color w:val="auto"/>
          <w:sz w:val="24"/>
          <w:szCs w:val="24"/>
          <w:highlight w:val="none"/>
        </w:rPr>
        <w:t xml:space="preserve">  6.7</w:t>
      </w:r>
      <w:bookmarkEnd w:id="453"/>
      <w:bookmarkEnd w:id="472"/>
      <w:bookmarkEnd w:id="473"/>
      <w:bookmarkEnd w:id="474"/>
      <w:bookmarkEnd w:id="475"/>
      <w:bookmarkEnd w:id="476"/>
      <w:bookmarkEnd w:id="477"/>
      <w:bookmarkEnd w:id="478"/>
      <w:bookmarkEnd w:id="479"/>
      <w:bookmarkEnd w:id="480"/>
      <w:bookmarkEnd w:id="481"/>
      <w:bookmarkEnd w:id="482"/>
      <w:bookmarkEnd w:id="483"/>
      <w:bookmarkEnd w:id="484"/>
      <w:r>
        <w:rPr>
          <w:rFonts w:hint="eastAsia" w:ascii="宋体" w:hAnsi="宋体"/>
          <w:b/>
          <w:bCs/>
          <w:color w:val="auto"/>
          <w:sz w:val="24"/>
          <w:szCs w:val="24"/>
          <w:highlight w:val="none"/>
        </w:rPr>
        <w:t>控制系统</w:t>
      </w:r>
      <w:bookmarkEnd w:id="485"/>
      <w:bookmarkEnd w:id="486"/>
      <w:bookmarkEnd w:id="487"/>
      <w:r>
        <w:rPr>
          <w:rFonts w:hint="eastAsia" w:ascii="宋体" w:hAnsi="宋体"/>
          <w:b/>
          <w:bCs/>
          <w:color w:val="auto"/>
          <w:sz w:val="24"/>
          <w:szCs w:val="24"/>
          <w:highlight w:val="none"/>
        </w:rPr>
        <w:t>具体技术要求</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低速机控制系统具有试验台位柴油机及测功器、公共系统数据（包含温度、压力、液位、流量、泵运行状态指示等信号，发动机、SCR系统、测功器等设备及系统通讯信号）实时监测、报警、记录及打印功能，可同时满足多个试验台位柴油机试验需求。系统包含：2套微机系统（2台工控机、2个显示器，冗余备份）、2个信号采集箱、多套监测软件。</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主控制室：在低速机生产车间8.0m标高钢平台上方设置2个主控制室，单个控制室面积约44㎡，采用轻质墙板进行分隔。新增配套照面、插座、空调等，主控制室内放置显示器，用于显示辅机系统、主机及水力测功器相关监控数据。8.0m标高钢平台同步新增卫生间、茶水间和清洁间。</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辅机系统控制室：拟采用集装箱式控制室，放置在辅机房地坪上。</w:t>
      </w:r>
    </w:p>
    <w:p>
      <w:pPr>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主机控制台、测功器控制台位于机组旁边，便于就近操作。</w:t>
      </w:r>
    </w:p>
    <w:p>
      <w:pPr>
        <w:spacing w:line="360" w:lineRule="auto"/>
        <w:ind w:firstLine="0" w:firstLineChars="0"/>
        <w:rPr>
          <w:rFonts w:ascii="宋体" w:hAnsi="宋体"/>
          <w:b/>
          <w:bCs/>
          <w:color w:val="auto"/>
          <w:sz w:val="24"/>
          <w:szCs w:val="24"/>
          <w:highlight w:val="none"/>
        </w:rPr>
      </w:pPr>
      <w:r>
        <w:rPr>
          <w:rFonts w:hint="eastAsia" w:ascii="宋体" w:hAnsi="宋体"/>
          <w:b/>
          <w:bCs/>
          <w:color w:val="auto"/>
          <w:sz w:val="24"/>
          <w:szCs w:val="24"/>
          <w:highlight w:val="none"/>
        </w:rPr>
        <w:t xml:space="preserve">  6.8 低压配电系统具体技术要求</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6.8.1 系统功能及组成</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低速机辅机系统供电，由车间内变配电室提供，本次实施范围从低速机辅机系统房内已设计的母线槽（2Lpd）上取电，新增2个母线插接箱。低速机台位按照实际配套的2套辅助系统设备配置配电。大于45KW以上的非变频电机回路，采用软启动装置，其余回路采用接触器+热继电器。</w:t>
      </w:r>
    </w:p>
    <w:p>
      <w:pPr>
        <w:spacing w:line="360" w:lineRule="auto"/>
        <w:ind w:firstLine="0" w:firstLineChars="0"/>
        <w:rPr>
          <w:rFonts w:ascii="宋体" w:hAnsi="宋体"/>
          <w:b/>
          <w:bCs/>
          <w:color w:val="auto"/>
          <w:sz w:val="24"/>
          <w:szCs w:val="24"/>
          <w:highlight w:val="none"/>
        </w:rPr>
      </w:pPr>
      <w:r>
        <w:rPr>
          <w:rFonts w:hint="eastAsia" w:ascii="宋体" w:hAnsi="宋体"/>
          <w:b/>
          <w:bCs/>
          <w:color w:val="auto"/>
          <w:sz w:val="24"/>
          <w:szCs w:val="24"/>
          <w:highlight w:val="none"/>
        </w:rPr>
        <w:t xml:space="preserve">  6.9其它辅具和设备</w:t>
      </w:r>
    </w:p>
    <w:p>
      <w:p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 xml:space="preserve">   6.9.1低速机安装平台</w:t>
      </w:r>
    </w:p>
    <w:p>
      <w:pPr>
        <w:pStyle w:val="13"/>
        <w:spacing w:before="0" w:beforeAutospacing="0" w:after="0" w:line="360" w:lineRule="auto"/>
        <w:ind w:firstLine="480"/>
        <w:jc w:val="both"/>
        <w:rPr>
          <w:rFonts w:cs="Times New Roman"/>
          <w:color w:val="auto"/>
          <w:kern w:val="2"/>
          <w:highlight w:val="none"/>
        </w:rPr>
      </w:pPr>
      <w:r>
        <w:rPr>
          <w:rFonts w:hint="eastAsia" w:cs="Times New Roman"/>
          <w:color w:val="auto"/>
          <w:kern w:val="2"/>
          <w:highlight w:val="none"/>
        </w:rPr>
        <w:t>低速机安装平台为钢结构，每一个安装平台分三层，由一层平台、二层平台、三层平台等组成，满足低速机装配和台架试验调试时人员上落，以及人员在平台装配作业的需要。</w:t>
      </w:r>
    </w:p>
    <w:p>
      <w:pPr>
        <w:pStyle w:val="13"/>
        <w:spacing w:before="0" w:beforeAutospacing="0" w:after="0" w:line="360" w:lineRule="auto"/>
        <w:ind w:firstLine="480"/>
        <w:jc w:val="both"/>
        <w:rPr>
          <w:rFonts w:cs="Times New Roman"/>
          <w:color w:val="auto"/>
          <w:kern w:val="2"/>
          <w:highlight w:val="none"/>
        </w:rPr>
      </w:pPr>
      <w:r>
        <w:rPr>
          <w:rFonts w:hint="eastAsia" w:cs="Times New Roman"/>
          <w:color w:val="auto"/>
          <w:kern w:val="2"/>
          <w:highlight w:val="none"/>
        </w:rPr>
        <w:t>本次项目安装平台为四套适用6UEC50LSH、6UEC60LSE、7UEC60LSE等型号低速柴油机安装的通用平台，四套安装平台均由投标人提供。该安装平台的设计示意图由招标人提供，投标人负责深化设计，投标人应对由于该平台的设计、工艺、材料、质量缺陷等原因导致的任何问题负责。</w:t>
      </w:r>
    </w:p>
    <w:p>
      <w:pPr>
        <w:widowControl/>
        <w:spacing w:before="86" w:line="360" w:lineRule="auto"/>
        <w:ind w:firstLine="0" w:firstLineChars="0"/>
        <w:rPr>
          <w:rFonts w:ascii="宋体" w:hAnsi="宋体"/>
          <w:color w:val="auto"/>
          <w:sz w:val="24"/>
          <w:szCs w:val="24"/>
          <w:highlight w:val="none"/>
        </w:rPr>
      </w:pPr>
      <w:bookmarkStart w:id="488" w:name="_Hlk183624391"/>
      <w:r>
        <w:rPr>
          <w:rFonts w:hint="eastAsia" w:ascii="宋体" w:hAnsi="宋体"/>
          <w:color w:val="auto"/>
          <w:sz w:val="24"/>
          <w:szCs w:val="24"/>
          <w:highlight w:val="none"/>
        </w:rPr>
        <w:t xml:space="preserve">   6.9.2 低速机线条座安装调平</w:t>
      </w:r>
    </w:p>
    <w:bookmarkEnd w:id="488"/>
    <w:p>
      <w:pPr>
        <w:pStyle w:val="13"/>
        <w:spacing w:before="0" w:beforeAutospacing="0" w:after="0" w:line="360" w:lineRule="auto"/>
        <w:ind w:firstLine="480"/>
        <w:jc w:val="both"/>
        <w:rPr>
          <w:rFonts w:cs="Times New Roman"/>
          <w:color w:val="auto"/>
          <w:kern w:val="2"/>
          <w:highlight w:val="none"/>
        </w:rPr>
      </w:pPr>
      <w:r>
        <w:rPr>
          <w:rFonts w:hint="eastAsia" w:cs="Times New Roman"/>
          <w:color w:val="auto"/>
          <w:kern w:val="2"/>
          <w:highlight w:val="none"/>
        </w:rPr>
        <w:t>招标人负责提供已加工好的线条座、地脚螺栓、垫圈、螺母等。</w:t>
      </w:r>
    </w:p>
    <w:p>
      <w:pPr>
        <w:pStyle w:val="13"/>
        <w:spacing w:before="0" w:beforeAutospacing="0" w:after="0" w:line="360" w:lineRule="auto"/>
        <w:ind w:firstLine="480"/>
        <w:jc w:val="both"/>
        <w:rPr>
          <w:rFonts w:cs="Times New Roman"/>
          <w:color w:val="auto"/>
          <w:kern w:val="2"/>
          <w:highlight w:val="none"/>
        </w:rPr>
      </w:pPr>
      <w:r>
        <w:rPr>
          <w:rFonts w:hint="eastAsia" w:cs="Times New Roman"/>
          <w:color w:val="auto"/>
          <w:kern w:val="2"/>
          <w:highlight w:val="none"/>
        </w:rPr>
        <w:t>招标人负责提供线条座的安装图纸。</w:t>
      </w:r>
    </w:p>
    <w:p>
      <w:pPr>
        <w:pStyle w:val="13"/>
        <w:spacing w:before="0" w:beforeAutospacing="0" w:after="0" w:line="360" w:lineRule="auto"/>
        <w:ind w:firstLine="480"/>
        <w:jc w:val="both"/>
        <w:rPr>
          <w:rFonts w:cs="Times New Roman"/>
          <w:strike/>
          <w:color w:val="auto"/>
          <w:kern w:val="2"/>
          <w:highlight w:val="none"/>
        </w:rPr>
      </w:pPr>
      <w:r>
        <w:rPr>
          <w:rFonts w:hint="eastAsia" w:cs="Times New Roman"/>
          <w:color w:val="auto"/>
          <w:kern w:val="2"/>
          <w:highlight w:val="none"/>
        </w:rPr>
        <w:t>投标人负责低速机线条底座（包括202条小线条座和212条大线条座）的安装及调平工作，调平后的线条座平面度等形位公差须符合设计图纸要求。</w:t>
      </w:r>
    </w:p>
    <w:p>
      <w:pPr>
        <w:pStyle w:val="13"/>
        <w:spacing w:before="0" w:beforeAutospacing="0" w:after="0" w:line="360" w:lineRule="auto"/>
        <w:ind w:firstLine="480"/>
        <w:jc w:val="both"/>
        <w:rPr>
          <w:rFonts w:cs="Times New Roman"/>
          <w:color w:val="auto"/>
          <w:kern w:val="2"/>
          <w:highlight w:val="none"/>
        </w:rPr>
      </w:pPr>
      <w:r>
        <w:rPr>
          <w:rFonts w:hint="eastAsia" w:cs="Times New Roman"/>
          <w:color w:val="auto"/>
          <w:kern w:val="2"/>
          <w:highlight w:val="none"/>
        </w:rPr>
        <w:t>招标人负责线条底座基础的施工，安装前，投标人须会同招标人、基础施工单位等对基础进行现场勘察。</w:t>
      </w:r>
    </w:p>
    <w:p>
      <w:pPr>
        <w:pStyle w:val="13"/>
        <w:spacing w:before="0" w:beforeAutospacing="0" w:after="0" w:line="360" w:lineRule="auto"/>
        <w:ind w:firstLine="0" w:firstLineChars="0"/>
        <w:jc w:val="both"/>
        <w:rPr>
          <w:rFonts w:cs="Times New Roman"/>
          <w:color w:val="auto"/>
          <w:kern w:val="2"/>
          <w:highlight w:val="none"/>
        </w:rPr>
      </w:pPr>
      <w:r>
        <w:rPr>
          <w:rFonts w:hint="eastAsia" w:cs="Times New Roman"/>
          <w:color w:val="auto"/>
          <w:kern w:val="2"/>
          <w:highlight w:val="none"/>
        </w:rPr>
        <w:t xml:space="preserve">   6.9.3 便携式油液颗粒度分析仪</w:t>
      </w:r>
    </w:p>
    <w:p>
      <w:pPr>
        <w:pStyle w:val="13"/>
        <w:spacing w:before="0" w:beforeAutospacing="0" w:after="0" w:line="360" w:lineRule="auto"/>
        <w:ind w:firstLine="480"/>
        <w:jc w:val="both"/>
        <w:rPr>
          <w:rFonts w:cs="Times New Roman"/>
          <w:color w:val="auto"/>
          <w:kern w:val="2"/>
          <w:highlight w:val="none"/>
        </w:rPr>
      </w:pPr>
      <w:r>
        <w:rPr>
          <w:rFonts w:hint="eastAsia" w:cs="Times New Roman"/>
          <w:color w:val="auto"/>
          <w:kern w:val="2"/>
          <w:highlight w:val="none"/>
        </w:rPr>
        <w:t>投标人根据招标人的要求，采购一台便携式油液颗粒度分析仪，用于油品分析，保证低速机高压液压油进机要求油品清洁度达到NAS8级，检测粒径范围：5μm-100μm，分析仪为触摸屏设计，采用光阻法（遮光法）原理，高精密传感器保证高分辨率力和准确性，具备离线检测和在线检测功能。</w:t>
      </w:r>
    </w:p>
    <w:p>
      <w:pPr>
        <w:pStyle w:val="13"/>
        <w:spacing w:before="0" w:beforeAutospacing="0" w:after="0" w:line="360" w:lineRule="auto"/>
        <w:ind w:firstLine="0" w:firstLineChars="0"/>
        <w:jc w:val="both"/>
        <w:rPr>
          <w:rFonts w:cs="Times New Roman"/>
          <w:b/>
          <w:bCs/>
          <w:color w:val="auto"/>
          <w:kern w:val="2"/>
          <w:sz w:val="28"/>
          <w:szCs w:val="28"/>
          <w:highlight w:val="none"/>
        </w:rPr>
      </w:pPr>
      <w:bookmarkStart w:id="489" w:name="_Hlk182852696"/>
      <w:r>
        <w:rPr>
          <w:rFonts w:hint="eastAsia" w:cs="Times New Roman"/>
          <w:b/>
          <w:bCs/>
          <w:color w:val="auto"/>
          <w:kern w:val="2"/>
          <w:sz w:val="28"/>
          <w:szCs w:val="28"/>
          <w:highlight w:val="none"/>
        </w:rPr>
        <w:t>四、项目最高限价和风险提示</w:t>
      </w:r>
    </w:p>
    <w:p>
      <w:pPr>
        <w:adjustRightInd w:val="0"/>
        <w:snapToGrid w:val="0"/>
        <w:spacing w:line="360" w:lineRule="auto"/>
        <w:ind w:firstLine="228" w:firstLineChars="95"/>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本项目招标最高限价(人民币)：3200万元，执行按照合同价最高限价执行，并按照如下约定执行：</w:t>
      </w:r>
    </w:p>
    <w:p>
      <w:pPr>
        <w:pStyle w:val="13"/>
        <w:spacing w:before="0" w:beforeAutospacing="0" w:after="0" w:line="360" w:lineRule="auto"/>
        <w:ind w:firstLine="480"/>
        <w:jc w:val="both"/>
        <w:rPr>
          <w:rFonts w:cs="Times New Roman"/>
          <w:b w:val="0"/>
          <w:bCs w:val="0"/>
          <w:color w:val="auto"/>
          <w:kern w:val="2"/>
          <w:highlight w:val="none"/>
        </w:rPr>
      </w:pPr>
      <w:r>
        <w:rPr>
          <w:rFonts w:hint="eastAsia" w:cs="Times New Roman"/>
          <w:b w:val="0"/>
          <w:bCs w:val="0"/>
          <w:color w:val="auto"/>
          <w:kern w:val="2"/>
          <w:highlight w:val="none"/>
        </w:rPr>
        <w:t>1、投标人（参照附件1表格格式）提供本项目涉及的所有设备和材料，所有设备须详细注明设备的生产厂家及品牌、品牌对应单价、规格、型号、数量、人工费用、材料费、管理费、利润等信息。投标人提供所有设备的生产厂家及品牌、规格、型号、数量等须符合并满足本项目的招标要求，对于施工过程中因设备的生产厂家及品牌、规格、型号、数量等罗列不全、不符合或不满足安装和试验要求的，由投标人自行承担。</w:t>
      </w:r>
    </w:p>
    <w:p>
      <w:pPr>
        <w:pStyle w:val="13"/>
        <w:spacing w:before="0" w:beforeAutospacing="0" w:after="0" w:line="360" w:lineRule="auto"/>
        <w:ind w:firstLine="480"/>
        <w:jc w:val="both"/>
        <w:rPr>
          <w:rFonts w:cs="Times New Roman"/>
          <w:b w:val="0"/>
          <w:bCs w:val="0"/>
          <w:color w:val="auto"/>
          <w:kern w:val="2"/>
          <w:highlight w:val="none"/>
        </w:rPr>
      </w:pPr>
      <w:r>
        <w:rPr>
          <w:rFonts w:hint="eastAsia" w:cs="Times New Roman"/>
          <w:b w:val="0"/>
          <w:bCs w:val="0"/>
          <w:color w:val="auto"/>
          <w:kern w:val="2"/>
          <w:highlight w:val="none"/>
        </w:rPr>
        <w:t>2、本项目在签订合同时，按照投标人投标文件提供的详细的设备清单中的设备品牌对应价格签订合同。实际施工中中标人原则上应按照合同落实选用的设备生产厂家及品牌，确因各种原因需要更改的，经本项目设计方和（或）招标单位同意允许投标人根据本项目的实际情况对其投标文件涉及的相关设备生产厂家及品牌、名称、型号、数量等进行修改，相应的价格结算时根据实际进行调整，但总价不能超过本项目合同价</w:t>
      </w:r>
    </w:p>
    <w:p>
      <w:pPr>
        <w:pStyle w:val="13"/>
        <w:spacing w:before="0" w:beforeAutospacing="0" w:after="0" w:line="360" w:lineRule="auto"/>
        <w:ind w:firstLine="480"/>
        <w:jc w:val="both"/>
        <w:rPr>
          <w:rFonts w:cs="Times New Roman"/>
          <w:b w:val="0"/>
          <w:bCs w:val="0"/>
          <w:color w:val="auto"/>
          <w:kern w:val="2"/>
          <w:highlight w:val="none"/>
        </w:rPr>
      </w:pPr>
      <w:r>
        <w:rPr>
          <w:rFonts w:hint="eastAsia" w:cs="Times New Roman"/>
          <w:b w:val="0"/>
          <w:bCs w:val="0"/>
          <w:color w:val="auto"/>
          <w:kern w:val="2"/>
          <w:highlight w:val="none"/>
        </w:rPr>
        <w:t>3、本项目设计方案、图纸、设备选型等可能考虑不周或实施时设备供应商、实际场地等原因需要修改，可能存在施工时多个单位协调配合的矛盾，投标人需要承担项目落实中的各种风险，招标人允许投标人确因客观原因对本项目设计、图纸、设备选型等具体细节进行修改，也允许结算按实际执行的主要设备变化进行结算，但附件1清单列明外的其他辅助材料的变化不影响结算价。无论修改变化有多大，结算总价仍不能超过本项目合同价。</w:t>
      </w:r>
    </w:p>
    <w:p>
      <w:pPr>
        <w:pStyle w:val="13"/>
        <w:spacing w:before="0" w:beforeAutospacing="0" w:after="0" w:line="360" w:lineRule="auto"/>
        <w:ind w:firstLine="480"/>
        <w:jc w:val="both"/>
        <w:rPr>
          <w:rFonts w:cs="Times New Roman"/>
          <w:b/>
          <w:bCs/>
          <w:color w:val="auto"/>
          <w:kern w:val="2"/>
          <w:highlight w:val="none"/>
        </w:rPr>
      </w:pPr>
      <w:r>
        <w:rPr>
          <w:rFonts w:hint="eastAsia" w:cs="Times New Roman"/>
          <w:b w:val="0"/>
          <w:bCs w:val="0"/>
          <w:color w:val="auto"/>
          <w:kern w:val="2"/>
          <w:highlight w:val="none"/>
        </w:rPr>
        <w:t>4、投标人须按设计方案、图纸、附件1清单内的设备规格参数等进行整体的施工深化设计，并对清单内的各设备之间的匹配度负责以及整体满足试验性能负责。投标人需要对清单内的设备及其参数有更改的，需要在投标文件内注明，并对可能造成不能满足生产和试验要求造成的损失负责。</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五、低速机辅机系统安装调试和验收</w:t>
      </w:r>
    </w:p>
    <w:p>
      <w:pPr>
        <w:spacing w:after="160" w:line="360" w:lineRule="auto"/>
        <w:ind w:firstLine="0" w:firstLineChars="0"/>
        <w:rPr>
          <w:rFonts w:ascii="宋体" w:hAnsi="宋体" w:cs="宋体"/>
          <w:strike/>
          <w:color w:val="auto"/>
          <w:sz w:val="24"/>
          <w:szCs w:val="24"/>
          <w:highlight w:val="none"/>
        </w:rPr>
      </w:pPr>
      <w:bookmarkStart w:id="490" w:name="_Toc23424"/>
      <w:r>
        <w:rPr>
          <w:rFonts w:hint="eastAsia" w:ascii="宋体" w:hAnsi="宋体" w:cs="宋体"/>
          <w:b/>
          <w:bCs/>
          <w:color w:val="auto"/>
          <w:sz w:val="24"/>
          <w:szCs w:val="24"/>
          <w:highlight w:val="none"/>
        </w:rPr>
        <w:t xml:space="preserve">    1、</w:t>
      </w:r>
      <w:r>
        <w:rPr>
          <w:rFonts w:hint="eastAsia" w:ascii="宋体" w:hAnsi="宋体" w:cs="宋体"/>
          <w:color w:val="auto"/>
          <w:sz w:val="24"/>
          <w:szCs w:val="24"/>
          <w:highlight w:val="none"/>
        </w:rPr>
        <w:t>中标方根据招标人的各项要求负责全部责任范围内试验设备和材料的选型、采购、制造、安装、调试等各项工作，制造和安装、调试等过程中所需设备、机械、工具均为中标方负责，招标方仅提供场地内已有机械设备可供中标方使用。</w:t>
      </w:r>
      <w:bookmarkEnd w:id="490"/>
    </w:p>
    <w:p>
      <w:pPr>
        <w:adjustRightInd w:val="0"/>
        <w:snapToGrid w:val="0"/>
        <w:spacing w:line="360" w:lineRule="auto"/>
        <w:ind w:firstLine="0" w:firstLineChars="0"/>
        <w:rPr>
          <w:rFonts w:ascii="宋体" w:hAnsi="宋体" w:cs="宋体"/>
          <w:color w:val="auto"/>
          <w:sz w:val="24"/>
          <w:szCs w:val="24"/>
          <w:highlight w:val="none"/>
        </w:rPr>
      </w:pPr>
      <w:r>
        <w:rPr>
          <w:rFonts w:hint="eastAsia" w:ascii="宋体" w:hAnsi="宋体" w:cs="宋体"/>
          <w:b/>
          <w:bCs/>
          <w:color w:val="auto"/>
          <w:sz w:val="24"/>
          <w:szCs w:val="24"/>
          <w:highlight w:val="none"/>
        </w:rPr>
        <w:t xml:space="preserve">    2、</w:t>
      </w:r>
      <w:r>
        <w:rPr>
          <w:rFonts w:hint="eastAsia" w:ascii="宋体" w:hAnsi="宋体" w:cs="宋体"/>
          <w:color w:val="auto"/>
          <w:sz w:val="24"/>
          <w:szCs w:val="24"/>
          <w:highlight w:val="none"/>
        </w:rPr>
        <w:t>设备安装、调试、验收整个过程中，投标人必须安排专职项目经理驻场，确保人员和设备的安全，并负责相关事宜的协调。</w:t>
      </w:r>
    </w:p>
    <w:p>
      <w:pPr>
        <w:spacing w:after="160" w:line="360" w:lineRule="auto"/>
        <w:ind w:firstLine="0" w:firstLineChars="0"/>
        <w:rPr>
          <w:rFonts w:ascii="宋体" w:hAnsi="宋体" w:cs="宋体"/>
          <w:color w:val="auto"/>
          <w:sz w:val="24"/>
          <w:szCs w:val="24"/>
          <w:highlight w:val="none"/>
        </w:rPr>
      </w:pPr>
      <w:bookmarkStart w:id="491" w:name="_Toc5714"/>
      <w:bookmarkStart w:id="492" w:name="_Hlk183627193"/>
      <w:r>
        <w:rPr>
          <w:rFonts w:hint="eastAsia" w:ascii="宋体" w:hAnsi="宋体" w:cs="宋体"/>
          <w:b/>
          <w:bCs/>
          <w:color w:val="auto"/>
          <w:sz w:val="24"/>
          <w:szCs w:val="24"/>
          <w:highlight w:val="none"/>
        </w:rPr>
        <w:t xml:space="preserve">    3、</w:t>
      </w:r>
      <w:r>
        <w:rPr>
          <w:rFonts w:hint="eastAsia" w:ascii="宋体" w:hAnsi="宋体" w:cs="宋体"/>
          <w:color w:val="auto"/>
          <w:sz w:val="24"/>
          <w:szCs w:val="24"/>
          <w:highlight w:val="none"/>
        </w:rPr>
        <w:t>设备验收按现行中国国家及行业标准或规范、技术协议及双方认可的标准执行，设备验收包括预验收和最终验收。</w:t>
      </w:r>
      <w:bookmarkEnd w:id="491"/>
    </w:p>
    <w:p>
      <w:pPr>
        <w:spacing w:line="360" w:lineRule="auto"/>
        <w:ind w:firstLine="0" w:firstLineChars="0"/>
        <w:rPr>
          <w:rFonts w:ascii="宋体" w:hAnsi="宋体" w:cs="宋体"/>
          <w:color w:val="auto"/>
          <w:sz w:val="24"/>
          <w:szCs w:val="24"/>
          <w:highlight w:val="none"/>
        </w:rPr>
      </w:pPr>
      <w:bookmarkStart w:id="493" w:name="_Toc10542"/>
      <w:r>
        <w:rPr>
          <w:rFonts w:hint="eastAsia" w:ascii="宋体" w:hAnsi="宋体" w:cs="宋体"/>
          <w:b/>
          <w:bCs/>
          <w:color w:val="auto"/>
          <w:sz w:val="24"/>
          <w:szCs w:val="24"/>
          <w:highlight w:val="none"/>
        </w:rPr>
        <w:t xml:space="preserve">   3.1</w:t>
      </w:r>
      <w:r>
        <w:rPr>
          <w:rFonts w:hint="eastAsia" w:ascii="宋体" w:hAnsi="宋体" w:cs="宋体"/>
          <w:color w:val="auto"/>
          <w:sz w:val="24"/>
          <w:szCs w:val="24"/>
          <w:highlight w:val="none"/>
        </w:rPr>
        <w:t>辅机系统预验收</w:t>
      </w:r>
      <w:bookmarkEnd w:id="493"/>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1）试验设备采购、制造完成后，中标人通知招标人对相关重要设备进行预验收。</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2）招标人根据中标人设备和人员到场的齐整性进行预验收，齐整性指所有主要设备到场并且所有施工人员（包括各专业管理、技术、安装工人）到场，重要试验设备预验收合格后双方签署《预验收报告》。</w:t>
      </w:r>
    </w:p>
    <w:p>
      <w:pPr>
        <w:spacing w:line="360" w:lineRule="auto"/>
        <w:ind w:firstLine="0" w:firstLineChars="0"/>
        <w:rPr>
          <w:rFonts w:ascii="宋体" w:hAnsi="宋体" w:cs="宋体"/>
          <w:color w:val="auto"/>
          <w:sz w:val="24"/>
          <w:szCs w:val="24"/>
          <w:highlight w:val="none"/>
        </w:rPr>
      </w:pPr>
      <w:bookmarkStart w:id="494" w:name="_Toc12946"/>
      <w:r>
        <w:rPr>
          <w:rFonts w:hint="eastAsia" w:ascii="宋体" w:hAnsi="宋体" w:cs="宋体"/>
          <w:b/>
          <w:bCs/>
          <w:color w:val="auto"/>
          <w:sz w:val="24"/>
          <w:szCs w:val="24"/>
          <w:highlight w:val="none"/>
        </w:rPr>
        <w:t xml:space="preserve">   3.2</w:t>
      </w:r>
      <w:r>
        <w:rPr>
          <w:rFonts w:hint="eastAsia" w:ascii="宋体" w:hAnsi="宋体" w:cs="宋体"/>
          <w:color w:val="auto"/>
          <w:sz w:val="24"/>
          <w:szCs w:val="24"/>
          <w:highlight w:val="none"/>
        </w:rPr>
        <w:t xml:space="preserve">  辅机系统终验收</w:t>
      </w:r>
      <w:bookmarkEnd w:id="494"/>
    </w:p>
    <w:bookmarkEnd w:id="492"/>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中标方负责辅机系统的运输、安装、调试、检验等，在辅机系统完成安装后，中标方需在其自身的投标文件响应的总交货期时间内完成调试和检验，达到招标方正常使用要求。</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终验收在招标方现场进行，验收内容如下：</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a) 功能、性能联合调试和精度检查采用招标方提供的典型产品和产品试验大纲进行（典型产品和产品试验大纲在辅机系统到达招标方时提供），验收内容为：检查辅机系统的配置、检查各系统全部技术指标应达到设备技术文件要求规定，并进行全面的功能、性能演示、精度检查等。</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b)中标方提供安装调试、静态调试报告及联合调试报告。</w:t>
      </w:r>
    </w:p>
    <w:p>
      <w:pPr>
        <w:spacing w:line="360" w:lineRule="auto"/>
        <w:ind w:firstLine="480" w:firstLineChars="0"/>
        <w:rPr>
          <w:rFonts w:ascii="宋体" w:hAnsi="宋体" w:cs="宋体"/>
          <w:b/>
          <w:bCs/>
          <w:color w:val="auto"/>
          <w:spacing w:val="20"/>
          <w:sz w:val="24"/>
          <w:szCs w:val="24"/>
          <w:highlight w:val="none"/>
        </w:rPr>
      </w:pPr>
      <w:r>
        <w:rPr>
          <w:rFonts w:hint="eastAsia" w:ascii="宋体" w:hAnsi="宋体" w:cs="宋体"/>
          <w:color w:val="auto"/>
          <w:sz w:val="24"/>
          <w:szCs w:val="24"/>
          <w:highlight w:val="none"/>
        </w:rPr>
        <w:t>c)</w:t>
      </w:r>
      <w:r>
        <w:rPr>
          <w:rFonts w:hint="eastAsia" w:ascii="宋体" w:hAnsi="宋体" w:cs="宋体"/>
          <w:b/>
          <w:bCs/>
          <w:color w:val="auto"/>
          <w:spacing w:val="20"/>
          <w:sz w:val="24"/>
          <w:szCs w:val="24"/>
          <w:highlight w:val="none"/>
        </w:rPr>
        <w:t>每套低速机辅机系统终验收时,选取一款低速机（6UEC50LSH低速机或6UEC60LSE低速机或7UEC60LSE低速机，具体由招标方在终验收前进行告知中标方）进行正常台架试验，验收合格后才算是完成终验收。</w:t>
      </w:r>
    </w:p>
    <w:p>
      <w:pPr>
        <w:spacing w:line="360" w:lineRule="auto"/>
        <w:ind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e）每套低速机辅机系统需要达到每月满足</w:t>
      </w:r>
      <w:r>
        <w:rPr>
          <w:rFonts w:hint="eastAsia" w:ascii="宋体" w:hAnsi="宋体" w:cs="宋体"/>
          <w:b/>
          <w:bCs/>
          <w:color w:val="auto"/>
          <w:sz w:val="24"/>
          <w:szCs w:val="24"/>
          <w:highlight w:val="none"/>
        </w:rPr>
        <w:t>1.5台6UEC50LSH</w:t>
      </w:r>
      <w:r>
        <w:rPr>
          <w:rFonts w:hint="eastAsia" w:ascii="宋体" w:hAnsi="宋体" w:cs="宋体"/>
          <w:color w:val="auto"/>
          <w:sz w:val="24"/>
          <w:szCs w:val="24"/>
          <w:highlight w:val="none"/>
        </w:rPr>
        <w:t>低速机台架试验的生产效率要求。</w:t>
      </w:r>
    </w:p>
    <w:p>
      <w:pPr>
        <w:widowControl/>
        <w:spacing w:before="86"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    f）</w:t>
      </w:r>
      <w:r>
        <w:rPr>
          <w:rFonts w:hint="eastAsia" w:ascii="宋体" w:hAnsi="宋体"/>
          <w:color w:val="auto"/>
          <w:sz w:val="24"/>
          <w:szCs w:val="24"/>
          <w:highlight w:val="none"/>
        </w:rPr>
        <w:t>低速机线条座安装调平的验收需要满足设计图纸要求。</w:t>
      </w:r>
    </w:p>
    <w:p>
      <w:pPr>
        <w:spacing w:after="160" w:line="360" w:lineRule="auto"/>
        <w:ind w:firstLine="0" w:firstLineChars="0"/>
        <w:rPr>
          <w:rFonts w:ascii="宋体" w:hAnsi="宋体" w:cs="宋体"/>
          <w:color w:val="auto"/>
          <w:sz w:val="24"/>
          <w:szCs w:val="24"/>
          <w:highlight w:val="none"/>
        </w:rPr>
      </w:pPr>
      <w:r>
        <w:rPr>
          <w:rFonts w:hint="eastAsia" w:ascii="宋体" w:hAnsi="宋体" w:cs="宋体"/>
          <w:b/>
          <w:bCs/>
          <w:color w:val="auto"/>
          <w:sz w:val="24"/>
          <w:szCs w:val="24"/>
          <w:highlight w:val="none"/>
        </w:rPr>
        <w:t xml:space="preserve">   3.3 </w:t>
      </w:r>
      <w:r>
        <w:rPr>
          <w:rFonts w:hint="eastAsia" w:ascii="宋体" w:hAnsi="宋体" w:cs="宋体"/>
          <w:color w:val="auto"/>
          <w:sz w:val="24"/>
          <w:szCs w:val="24"/>
          <w:highlight w:val="none"/>
        </w:rPr>
        <w:t>上述现场验收合格后，招标方组织验收评审，评审通过后签署《终验收报告</w:t>
      </w:r>
      <w:bookmarkStart w:id="495" w:name="_Toc20739"/>
      <w:bookmarkStart w:id="496" w:name="_Toc1660943895"/>
      <w:bookmarkStart w:id="497" w:name="_Toc1008499744"/>
      <w:bookmarkStart w:id="498" w:name="_Toc13698"/>
      <w:bookmarkStart w:id="499" w:name="_Toc2504"/>
      <w:bookmarkStart w:id="500" w:name="_Toc20110"/>
      <w:bookmarkStart w:id="501" w:name="_Toc662099479"/>
      <w:bookmarkStart w:id="502" w:name="_Toc8085"/>
      <w:bookmarkStart w:id="503" w:name="_Toc22566"/>
      <w:bookmarkStart w:id="504" w:name="_Toc17929"/>
      <w:bookmarkStart w:id="505" w:name="_Toc27820"/>
      <w:bookmarkStart w:id="506" w:name="_Toc994875334"/>
      <w:bookmarkStart w:id="507" w:name="_Toc2924"/>
      <w:bookmarkStart w:id="508" w:name="_Toc1047176878"/>
      <w:bookmarkStart w:id="509" w:name="_Toc20102"/>
      <w:bookmarkStart w:id="510" w:name="_Toc1545530698"/>
      <w:r>
        <w:rPr>
          <w:rFonts w:hint="eastAsia" w:ascii="宋体" w:hAnsi="宋体" w:cs="宋体"/>
          <w:color w:val="auto"/>
          <w:sz w:val="24"/>
          <w:szCs w:val="24"/>
          <w:highlight w:val="none"/>
        </w:rPr>
        <w:t>》</w:t>
      </w:r>
    </w:p>
    <w:p>
      <w:pPr>
        <w:spacing w:line="360" w:lineRule="auto"/>
        <w:ind w:firstLine="0" w:firstLineChars="0"/>
        <w:rPr>
          <w:rFonts w:ascii="宋体" w:hAnsi="宋体" w:cs="宋体"/>
          <w:color w:val="auto"/>
          <w:spacing w:val="20"/>
          <w:sz w:val="28"/>
          <w:szCs w:val="28"/>
          <w:highlight w:val="none"/>
        </w:rPr>
      </w:pPr>
      <w:r>
        <w:rPr>
          <w:rFonts w:hint="eastAsia" w:ascii="宋体" w:hAnsi="宋体" w:cs="宋体"/>
          <w:b/>
          <w:bCs/>
          <w:color w:val="auto"/>
          <w:spacing w:val="20"/>
          <w:sz w:val="28"/>
          <w:szCs w:val="28"/>
          <w:highlight w:val="none"/>
        </w:rPr>
        <w:t>六、完工验收前投标方须提供的资料包括但不限于：</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1、《项目实施方案书》和深化设计、安装、检验过程中的确认和变更记录等资料。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2、《设备清单》（需分类并详细列出实际选用的设备）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3、《管道、电缆等辅件清单》</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4、《各系统深化设计图纸》</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5、《低速机安装平台深化设计图纸》</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6</w:t>
      </w:r>
      <w:r>
        <w:rPr>
          <w:rFonts w:ascii="宋体" w:hAnsi="宋体" w:cs="宋体"/>
          <w:color w:val="auto"/>
          <w:spacing w:val="20"/>
          <w:sz w:val="24"/>
          <w:szCs w:val="24"/>
          <w:highlight w:val="none"/>
        </w:rPr>
        <w:t>、</w:t>
      </w:r>
      <w:r>
        <w:rPr>
          <w:rFonts w:hint="eastAsia" w:ascii="宋体" w:hAnsi="宋体" w:cs="宋体"/>
          <w:color w:val="auto"/>
          <w:spacing w:val="20"/>
          <w:sz w:val="24"/>
          <w:szCs w:val="24"/>
          <w:highlight w:val="none"/>
        </w:rPr>
        <w:t xml:space="preserve"> 各设备操作说明书和合格证等全套资料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7、辅机各系统最终设计图和操作说明书或操作指南</w:t>
      </w:r>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pacing w:val="20"/>
          <w:sz w:val="24"/>
          <w:szCs w:val="24"/>
          <w:highlight w:val="none"/>
        </w:rPr>
        <w:t xml:space="preserve">   8、</w:t>
      </w:r>
      <w:r>
        <w:rPr>
          <w:rFonts w:ascii="宋体" w:hAnsi="宋体" w:cs="宋体"/>
          <w:color w:val="auto"/>
          <w:spacing w:val="20"/>
          <w:sz w:val="24"/>
          <w:szCs w:val="24"/>
          <w:highlight w:val="none"/>
        </w:rPr>
        <w:t>《项目终验收报告》</w:t>
      </w:r>
    </w:p>
    <w:bookmarkEnd w:id="489"/>
    <w:p>
      <w:pPr>
        <w:spacing w:after="160" w:line="360" w:lineRule="auto"/>
        <w:ind w:firstLine="0" w:firstLineChars="0"/>
        <w:rPr>
          <w:rFonts w:ascii="宋体" w:hAnsi="宋体" w:cs="宋体"/>
          <w:b/>
          <w:bCs/>
          <w:color w:val="auto"/>
          <w:sz w:val="28"/>
          <w:szCs w:val="28"/>
          <w:highlight w:val="none"/>
        </w:rPr>
      </w:pPr>
      <w:bookmarkStart w:id="511" w:name="_Hlk182853887"/>
      <w:r>
        <w:rPr>
          <w:rFonts w:hint="eastAsia" w:ascii="宋体" w:hAnsi="宋体" w:cs="宋体"/>
          <w:b/>
          <w:bCs/>
          <w:color w:val="auto"/>
          <w:sz w:val="28"/>
          <w:szCs w:val="28"/>
          <w:highlight w:val="none"/>
        </w:rPr>
        <w:t>七、</w:t>
      </w:r>
      <w:r>
        <w:rPr>
          <w:rFonts w:hint="eastAsia" w:ascii="宋体" w:hAnsi="宋体" w:cs="宋体"/>
          <w:b/>
          <w:bCs/>
          <w:color w:val="auto"/>
          <w:kern w:val="44"/>
          <w:sz w:val="28"/>
          <w:szCs w:val="28"/>
          <w:highlight w:val="none"/>
        </w:rPr>
        <w:t>技术培训</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低速机辅机系统完成终验收后，投标人委派技术工程师在现场对招标人有关人员必须免费进行指导、培训，使之掌握设备结构、技术原理及设备的正确操作、检查、维修和保养，并解释所有的技术问题等。</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技术培训分为基础培训和进阶培训两个阶段，每次培训时间不少于10个工作日。基础培训于设备交付使用时进行，中标方负责在招标方现场对相关操作、维修人员等进行技术培训（操作培训不少于10个工作日）；进阶培训在辅机系统交付招标方使用半年后进行（具体时间由招标方确定），针对招标方在使用过程中存在的问题进行进阶技术培训。</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两个阶段的培训以实效为评价基础，须确保招标方参训人员能够具备设备独立操作能力，如培训效果未能达到上述要求，中标方须无条件进行培训时间的延长，确保达到培训效果。</w:t>
      </w:r>
    </w:p>
    <w:p>
      <w:pPr>
        <w:spacing w:line="360" w:lineRule="auto"/>
        <w:ind w:left="0" w:leftChars="0" w:firstLine="0" w:firstLineChars="0"/>
        <w:rPr>
          <w:rFonts w:hint="eastAsia" w:ascii="宋体" w:hAnsi="宋体" w:cs="宋体"/>
          <w:color w:val="auto"/>
          <w:sz w:val="24"/>
          <w:szCs w:val="24"/>
          <w:highlight w:val="none"/>
        </w:rPr>
      </w:pPr>
      <w:bookmarkStart w:id="512" w:name="_Toc2133132687"/>
      <w:bookmarkStart w:id="513" w:name="_Toc171307355"/>
      <w:bookmarkStart w:id="514" w:name="_Toc31054"/>
      <w:bookmarkStart w:id="515" w:name="_Toc3619"/>
      <w:bookmarkStart w:id="516" w:name="_Toc2693"/>
      <w:bookmarkStart w:id="517" w:name="_Toc9437"/>
      <w:bookmarkStart w:id="518" w:name="_Toc1842059279"/>
      <w:bookmarkStart w:id="519" w:name="_Toc9984"/>
      <w:bookmarkStart w:id="520" w:name="_Toc1091495442"/>
      <w:bookmarkStart w:id="521" w:name="_Toc534"/>
      <w:bookmarkStart w:id="522" w:name="_Toc25555"/>
      <w:bookmarkStart w:id="523" w:name="_Toc21972"/>
      <w:bookmarkStart w:id="524" w:name="_Toc6777"/>
      <w:bookmarkStart w:id="525" w:name="_Toc31913"/>
      <w:bookmarkStart w:id="526" w:name="_Toc1775751741"/>
      <w:bookmarkStart w:id="527" w:name="_Toc296198553"/>
      <w:r>
        <w:rPr>
          <w:rFonts w:hint="eastAsia" w:ascii="宋体" w:hAnsi="宋体" w:cs="宋体"/>
          <w:color w:val="auto"/>
          <w:sz w:val="24"/>
          <w:szCs w:val="24"/>
          <w:highlight w:val="none"/>
          <w:lang w:val="en-US" w:eastAsia="zh-CN"/>
        </w:rPr>
        <w:t xml:space="preserve">   </w:t>
      </w:r>
      <w:r>
        <w:rPr>
          <w:rFonts w:hint="eastAsia" w:ascii="宋体" w:hAnsi="宋体" w:cs="宋体"/>
          <w:b/>
          <w:bCs/>
          <w:color w:val="auto"/>
          <w:sz w:val="24"/>
          <w:szCs w:val="24"/>
          <w:highlight w:val="none"/>
        </w:rPr>
        <w:t>1、基础培训内容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1）润滑油/柴油原理图、电气原理图、软件控制逻辑，一般故障现象及处理方法（针对设备维护人员和操作人员）。</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2）了解各种阀门、调节阀作用，手动操作程序，如何正确操作辅机系统。</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3）试验设备运行过程中可能存在哪些安全隐患，应当采取哪些防范措施。</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4）学习了解设备参数设定、程序设定、定检及维保工作方法。</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5）学习了解设备易损件、备件参数、厂家信息，并了解相关部件状态检查监测方法及程序。</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6）了解设备各系统全程操作方法及注意事项。</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7）了解设备其他操作运行中的注意事项。</w:t>
      </w:r>
    </w:p>
    <w:p>
      <w:pPr>
        <w:spacing w:line="360" w:lineRule="auto"/>
        <w:ind w:left="0" w:leftChars="0" w:firstLine="0" w:firstLineChars="0"/>
        <w:rPr>
          <w:rFonts w:hint="eastAsia" w:ascii="宋体" w:hAnsi="宋体" w:cs="宋体"/>
          <w:b/>
          <w:bCs/>
          <w:color w:val="auto"/>
          <w:sz w:val="24"/>
          <w:szCs w:val="24"/>
          <w:highlight w:val="none"/>
        </w:rPr>
      </w:pPr>
      <w:bookmarkStart w:id="528" w:name="_Toc257128416"/>
      <w:bookmarkStart w:id="529" w:name="_Toc10933"/>
      <w:bookmarkStart w:id="530" w:name="_Toc21992"/>
      <w:bookmarkStart w:id="531" w:name="_Toc7348"/>
      <w:bookmarkStart w:id="532" w:name="_Toc27526"/>
      <w:bookmarkStart w:id="533" w:name="_Toc112558135"/>
      <w:bookmarkStart w:id="534" w:name="_Toc1268941279"/>
      <w:bookmarkStart w:id="535" w:name="_Toc3964"/>
      <w:bookmarkStart w:id="536" w:name="_Toc1661024022"/>
      <w:bookmarkStart w:id="537" w:name="_Toc15306"/>
      <w:bookmarkStart w:id="538" w:name="_Toc67"/>
      <w:bookmarkStart w:id="539" w:name="_Toc1636014300"/>
      <w:bookmarkStart w:id="540" w:name="_Toc2120314701"/>
      <w:bookmarkStart w:id="541" w:name="_Toc2501"/>
      <w:bookmarkStart w:id="542" w:name="_Toc25089"/>
      <w:bookmarkStart w:id="543" w:name="_Toc14889"/>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2、进阶培训内容</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1）招标方对辅机系统使用过程中存在的技术问题进行详列，中标方针对招标方在使用过程中存在的问题进行进阶技术培训。</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2）设备后台参数的设置原理及修改方法等。</w:t>
      </w:r>
    </w:p>
    <w:p>
      <w:pPr>
        <w:spacing w:line="360" w:lineRule="auto"/>
        <w:ind w:firstLine="0" w:firstLineChars="0"/>
        <w:rPr>
          <w:rFonts w:ascii="宋体" w:hAnsi="宋体" w:cs="宋体"/>
          <w:b/>
          <w:bCs/>
          <w:color w:val="auto"/>
          <w:spacing w:val="20"/>
          <w:sz w:val="28"/>
          <w:szCs w:val="28"/>
          <w:highlight w:val="none"/>
        </w:rPr>
      </w:pPr>
      <w:bookmarkStart w:id="544" w:name="_Toc19345"/>
      <w:bookmarkStart w:id="545" w:name="_Toc5611"/>
      <w:bookmarkStart w:id="546" w:name="_Toc5603"/>
      <w:bookmarkStart w:id="547" w:name="_Toc23025"/>
      <w:r>
        <w:rPr>
          <w:rFonts w:hint="eastAsia" w:ascii="宋体" w:hAnsi="宋体" w:cs="宋体"/>
          <w:b/>
          <w:bCs/>
          <w:color w:val="auto"/>
          <w:spacing w:val="20"/>
          <w:sz w:val="28"/>
          <w:szCs w:val="28"/>
          <w:highlight w:val="none"/>
        </w:rPr>
        <w:t>八、质量保证及售后服务</w:t>
      </w:r>
      <w:bookmarkEnd w:id="544"/>
      <w:bookmarkEnd w:id="545"/>
      <w:bookmarkEnd w:id="546"/>
      <w:bookmarkEnd w:id="547"/>
      <w:bookmarkStart w:id="548" w:name="_Toc32740"/>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1、质量保证期为12个月，质量保证期从终验收合格之日起计算。</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2、在质量保证期内，</w:t>
      </w:r>
      <w:bookmarkStart w:id="549" w:name="_Hlk183803186"/>
      <w:r>
        <w:rPr>
          <w:rFonts w:hint="eastAsia" w:ascii="宋体" w:hAnsi="宋体" w:cs="宋体"/>
          <w:color w:val="auto"/>
          <w:spacing w:val="20"/>
          <w:sz w:val="24"/>
          <w:szCs w:val="24"/>
          <w:highlight w:val="none"/>
        </w:rPr>
        <w:t>中</w:t>
      </w:r>
      <w:bookmarkEnd w:id="549"/>
      <w:r>
        <w:rPr>
          <w:rFonts w:hint="eastAsia" w:ascii="宋体" w:hAnsi="宋体" w:cs="宋体"/>
          <w:color w:val="auto"/>
          <w:spacing w:val="20"/>
          <w:sz w:val="24"/>
          <w:szCs w:val="24"/>
          <w:highlight w:val="none"/>
        </w:rPr>
        <w:t>标方应对由于设备、施工、工艺、材料或质量缺陷等原因导致的任何设备故障负责，并免费负责对设备进行维修（含零部件更换）或以消除故障。</w:t>
      </w:r>
      <w:bookmarkEnd w:id="548"/>
      <w:bookmarkStart w:id="550" w:name="_Toc17636"/>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3、质保期内，如设备或零部件因非人为因素出现故障而造成低速机辅机系统短期停用时，则质保期和免费维修期相应顺延。如设备停用影响生产时间超过30天，则质保期顺延并扣除质保金50%。</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对于质量保证期内系统运行出现故障，中标方自接到买方服务通知起4小时内给买方作出响应，诊断设备故障并指导买方排除解决设备故障；对招标方不能自行解决的故障，中标方人员应在24小时内到达买方现场进行维修，一般故障必须在48小时内解决或提供同档次替代品，确保设备恢复正常运行。</w:t>
      </w:r>
      <w:bookmarkStart w:id="551" w:name="_Toc17642"/>
      <w:bookmarkEnd w:id="550"/>
      <w:r>
        <w:rPr>
          <w:rFonts w:hint="eastAsia" w:ascii="宋体" w:hAnsi="宋体" w:cs="宋体"/>
          <w:color w:val="auto"/>
          <w:spacing w:val="20"/>
          <w:sz w:val="24"/>
          <w:szCs w:val="24"/>
          <w:highlight w:val="none"/>
        </w:rPr>
        <w:t>质量保证期内，所有设备、部件和备件在正当使用情况下，由于设计、制造和材料缺陷等引起的质量问题及直接损失由中标方负责。</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5、质量保证期内，中标方免费提供维修备件及服务，并应及时有效。</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6、质量保证期内，中标方根据投标方实际需求免费提供现场使用培训服务</w:t>
      </w:r>
      <w:r>
        <w:rPr>
          <w:rFonts w:hint="eastAsia" w:ascii="宋体" w:hAnsi="宋体" w:cs="宋体"/>
          <w:color w:val="auto"/>
          <w:spacing w:val="20"/>
          <w:sz w:val="24"/>
          <w:szCs w:val="24"/>
          <w:highlight w:val="none"/>
          <w:lang w:val="en-US" w:eastAsia="zh-CN"/>
        </w:rPr>
        <w:t>。</w:t>
      </w:r>
    </w:p>
    <w:bookmarkEnd w:id="551"/>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7、低速机各辅机系统在质量保证期到期前一月，由中标方派出有经验的售后服务工程师对低速机辅机系统进行一次整体的免费保养，并进行必要的控制技术参数调整。具体工作内容如下：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①系统、各设备、各管道等机械部分、电气部分、控制部分等的维护保养。</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②系统控制技术参数优化。</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③中标方应提供本项目维修保养后，系统使用状态的相关报告给招标方，并针对提出相应的保养建议。</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8、本项目质保期过后，中标方能终生提供广泛优惠的技术支持服务。</w:t>
      </w:r>
    </w:p>
    <w:bookmarkEnd w:id="511"/>
    <w:p>
      <w:pPr>
        <w:spacing w:line="360" w:lineRule="auto"/>
        <w:ind w:firstLine="0" w:firstLineChars="0"/>
        <w:rPr>
          <w:rFonts w:ascii="宋体" w:hAnsi="宋体" w:cs="宋体"/>
          <w:b/>
          <w:bCs/>
          <w:color w:val="auto"/>
          <w:spacing w:val="20"/>
          <w:sz w:val="24"/>
          <w:szCs w:val="24"/>
          <w:highlight w:val="none"/>
        </w:rPr>
      </w:pPr>
      <w:bookmarkStart w:id="552" w:name="_Hlk133516786"/>
      <w:r>
        <w:rPr>
          <w:rFonts w:hint="eastAsia" w:ascii="宋体" w:hAnsi="宋体" w:cs="宋体"/>
          <w:b/>
          <w:bCs/>
          <w:color w:val="auto"/>
          <w:spacing w:val="20"/>
          <w:sz w:val="28"/>
          <w:szCs w:val="28"/>
          <w:highlight w:val="none"/>
        </w:rPr>
        <w:t>九、交货期、交货地点、付款方式</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1、交货期</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自合同生效之日起的4.5个月内，中标人需要完成一套低速机辅机系统工艺设备的采购和安装调试、人员培训等工作，并交付给招标方正常使用。另一套低速机辅机系统允许自合同生效之日起6个月内完成。</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2、交货地点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广州市南沙区大岗镇潭新公路362号广州工控大湾区现代高端装备研发生产基地项目（二期）。</w:t>
      </w:r>
    </w:p>
    <w:bookmarkEnd w:id="552"/>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3、付款方式</w:t>
      </w:r>
      <w:bookmarkStart w:id="553" w:name="_Hlk133517382"/>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买方预付合同总额的30％作为预付款，同时卖方需开具合同总额30％的增值税（税率：13%）专票发票；预验收合格后，买方支付合同总额的30％作为预验收款，同时卖方需开具合同总额30％的增值税（税率：13%）专票发票；终验收合格后，买方支付合同总额的</w:t>
      </w:r>
      <w:r>
        <w:rPr>
          <w:rFonts w:hint="eastAsia" w:ascii="宋体" w:hAnsi="宋体" w:cs="宋体"/>
          <w:b/>
          <w:bCs/>
          <w:color w:val="auto"/>
          <w:spacing w:val="20"/>
          <w:sz w:val="24"/>
          <w:szCs w:val="24"/>
          <w:highlight w:val="none"/>
        </w:rPr>
        <w:t>35％</w:t>
      </w:r>
      <w:r>
        <w:rPr>
          <w:rFonts w:hint="eastAsia" w:ascii="宋体" w:hAnsi="宋体" w:cs="宋体"/>
          <w:color w:val="auto"/>
          <w:spacing w:val="20"/>
          <w:sz w:val="24"/>
          <w:szCs w:val="24"/>
          <w:highlight w:val="none"/>
        </w:rPr>
        <w:t>作为验收款，同时卖方需开具合同总额的40%增值税（税率：13%）专票发票；合同总额余款</w:t>
      </w:r>
      <w:r>
        <w:rPr>
          <w:rFonts w:hint="eastAsia" w:ascii="宋体" w:hAnsi="宋体" w:cs="宋体"/>
          <w:b/>
          <w:bCs/>
          <w:color w:val="auto"/>
          <w:spacing w:val="20"/>
          <w:sz w:val="24"/>
          <w:szCs w:val="24"/>
          <w:highlight w:val="none"/>
        </w:rPr>
        <w:t>5％</w:t>
      </w:r>
      <w:r>
        <w:rPr>
          <w:rFonts w:hint="eastAsia" w:ascii="宋体" w:hAnsi="宋体" w:cs="宋体"/>
          <w:color w:val="auto"/>
          <w:spacing w:val="20"/>
          <w:sz w:val="24"/>
          <w:szCs w:val="24"/>
          <w:highlight w:val="none"/>
        </w:rPr>
        <w:t>作为质保金，如无质量问题，在终验收合格之日起壹年后付清。</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十、投标须知</w:t>
      </w:r>
    </w:p>
    <w:bookmarkEnd w:id="553"/>
    <w:p>
      <w:pPr>
        <w:spacing w:line="360" w:lineRule="auto"/>
        <w:ind w:firstLine="0" w:firstLineChars="0"/>
        <w:rPr>
          <w:rFonts w:ascii="宋体" w:hAnsi="宋体" w:cs="宋体"/>
          <w:b/>
          <w:bCs/>
          <w:color w:val="auto"/>
          <w:spacing w:val="20"/>
          <w:sz w:val="24"/>
          <w:szCs w:val="24"/>
          <w:highlight w:val="none"/>
        </w:rPr>
      </w:pPr>
      <w:bookmarkStart w:id="554" w:name="_Hlk144846123"/>
      <w:r>
        <w:rPr>
          <w:rFonts w:hint="eastAsia" w:ascii="宋体" w:hAnsi="宋体" w:cs="宋体"/>
          <w:b/>
          <w:bCs/>
          <w:color w:val="auto"/>
          <w:spacing w:val="20"/>
          <w:sz w:val="24"/>
          <w:szCs w:val="24"/>
          <w:highlight w:val="none"/>
        </w:rPr>
        <w:t xml:space="preserve"> （一）投标人资格要求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1、具备的条件：</w:t>
      </w:r>
    </w:p>
    <w:bookmarkEnd w:id="554"/>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投标人必须是在中华人民共和国境内注册并合法运作的独立法人机构，提供投标人的营业执照副本复印件，加盖投标单位公章（原件备查）。</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具有良好的商业信誉和健全的财务会计制度：提供以下两种形式之一的财务状况报告：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1.3.1 经会计师事务所审计的2021-2023年度财务报告；</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1.3.2基本开户银行出具的资信证明。如供应商新成立的，则提供成立至今的月或季度财务报表复印件。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1.4 履行合同所涉及到低速机辅机系统设备深化设计、安装施工、售后等相关专业技术能力、经验的施工服务团队人员，提供相关人员的证明材料复印件（格式自拟）。</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1.5 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1.6 投标申请人出具《投标申请人声明》（模板见附件2）。</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2、本项目的特定资格要求：</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2.1 投标人必须为所投项目的直接实施单位。</w:t>
      </w:r>
    </w:p>
    <w:p>
      <w:pPr>
        <w:pStyle w:val="19"/>
        <w:spacing w:line="360" w:lineRule="auto"/>
        <w:ind w:firstLine="560" w:firstLineChars="200"/>
        <w:rPr>
          <w:rFonts w:ascii="宋体" w:hAnsi="宋体" w:cs="宋体"/>
          <w:color w:val="auto"/>
          <w:spacing w:val="20"/>
          <w:kern w:val="2"/>
          <w:sz w:val="24"/>
          <w:szCs w:val="24"/>
          <w:highlight w:val="none"/>
        </w:rPr>
      </w:pPr>
      <w:r>
        <w:rPr>
          <w:rFonts w:hint="eastAsia" w:ascii="宋体" w:hAnsi="宋体" w:cs="宋体"/>
          <w:color w:val="auto"/>
          <w:spacing w:val="20"/>
          <w:kern w:val="2"/>
          <w:sz w:val="24"/>
          <w:szCs w:val="24"/>
          <w:highlight w:val="none"/>
        </w:rPr>
        <w:t>2.2 本项目高度专业，原则上优先考虑在国内有低速机辅机系统工艺设备采购和安装调试项目业绩的投标单位。</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2.3 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2.4 单位负责人为同一人或者存在控股、管理关系的不同单位，不得参与同一标段投标或者未划分标段的同一招标项目同一分包招标。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2.5本项目不接受联合体投标。</w:t>
      </w:r>
    </w:p>
    <w:p>
      <w:pPr>
        <w:spacing w:line="360" w:lineRule="auto"/>
        <w:ind w:firstLine="0" w:firstLineChars="0"/>
        <w:rPr>
          <w:rFonts w:ascii="宋体" w:hAnsi="宋体" w:cs="宋体"/>
          <w:b w:val="0"/>
          <w:bCs w:val="0"/>
          <w:color w:val="auto"/>
          <w:spacing w:val="20"/>
          <w:sz w:val="24"/>
          <w:szCs w:val="24"/>
          <w:highlight w:val="none"/>
        </w:rPr>
      </w:pPr>
      <w:r>
        <w:rPr>
          <w:rFonts w:hint="eastAsia" w:ascii="宋体" w:hAnsi="宋体" w:cs="宋体"/>
          <w:b w:val="0"/>
          <w:bCs w:val="0"/>
          <w:color w:val="auto"/>
          <w:spacing w:val="20"/>
          <w:sz w:val="24"/>
          <w:szCs w:val="24"/>
          <w:highlight w:val="none"/>
        </w:rPr>
        <w:t>（二）投标单位需提供以下资料（所有资料均需盖投标单位公章）：</w:t>
      </w:r>
    </w:p>
    <w:p>
      <w:pPr>
        <w:spacing w:line="360" w:lineRule="auto"/>
        <w:ind w:firstLine="0" w:firstLineChars="0"/>
        <w:rPr>
          <w:rFonts w:ascii="宋体" w:hAnsi="宋体" w:cs="宋体"/>
          <w:b w:val="0"/>
          <w:bCs w:val="0"/>
          <w:color w:val="auto"/>
          <w:spacing w:val="20"/>
          <w:sz w:val="24"/>
          <w:szCs w:val="24"/>
          <w:highlight w:val="none"/>
        </w:rPr>
      </w:pPr>
      <w:r>
        <w:rPr>
          <w:rFonts w:hint="eastAsia" w:ascii="宋体" w:hAnsi="宋体" w:cs="宋体"/>
          <w:b w:val="0"/>
          <w:bCs w:val="0"/>
          <w:color w:val="auto"/>
          <w:spacing w:val="20"/>
          <w:sz w:val="24"/>
          <w:szCs w:val="24"/>
          <w:highlight w:val="none"/>
        </w:rPr>
        <w:t xml:space="preserve">   1、营业执照副本和相应生产制造资质证书复印件（均需盖投标单位公章，原件备查）。</w:t>
      </w:r>
    </w:p>
    <w:p>
      <w:pPr>
        <w:spacing w:line="360" w:lineRule="auto"/>
        <w:ind w:firstLine="0" w:firstLineChars="0"/>
        <w:rPr>
          <w:rFonts w:ascii="宋体" w:hAnsi="宋体" w:cs="宋体"/>
          <w:b w:val="0"/>
          <w:bCs w:val="0"/>
          <w:color w:val="auto"/>
          <w:spacing w:val="20"/>
          <w:sz w:val="24"/>
          <w:szCs w:val="24"/>
          <w:highlight w:val="none"/>
        </w:rPr>
      </w:pPr>
      <w:r>
        <w:rPr>
          <w:rFonts w:hint="eastAsia" w:ascii="宋体" w:hAnsi="宋体" w:cs="宋体"/>
          <w:b w:val="0"/>
          <w:bCs w:val="0"/>
          <w:color w:val="auto"/>
          <w:spacing w:val="20"/>
          <w:sz w:val="24"/>
          <w:szCs w:val="24"/>
          <w:highlight w:val="none"/>
        </w:rPr>
        <w:t xml:space="preserve">   2、法定代表人证明书和委托授权书原件。</w:t>
      </w:r>
    </w:p>
    <w:p>
      <w:pPr>
        <w:spacing w:line="360" w:lineRule="auto"/>
        <w:ind w:firstLine="0" w:firstLineChars="0"/>
        <w:rPr>
          <w:rFonts w:ascii="宋体" w:hAnsi="宋体" w:cs="宋体"/>
          <w:b w:val="0"/>
          <w:bCs w:val="0"/>
          <w:color w:val="auto"/>
          <w:spacing w:val="20"/>
          <w:sz w:val="24"/>
          <w:szCs w:val="24"/>
          <w:highlight w:val="none"/>
        </w:rPr>
      </w:pPr>
      <w:r>
        <w:rPr>
          <w:rFonts w:hint="eastAsia" w:ascii="宋体" w:hAnsi="宋体" w:cs="宋体"/>
          <w:b w:val="0"/>
          <w:bCs w:val="0"/>
          <w:color w:val="auto"/>
          <w:sz w:val="24"/>
          <w:szCs w:val="24"/>
          <w:highlight w:val="none"/>
        </w:rPr>
        <w:t xml:space="preserve">    投标函签字盖章：有法定代表人（单位负责人）或其委托代理人签字加盖单位章。由法定代表人（单位负责人）签字的，应附法定代表人（单位负责人）身份证明；由代理人签字的，应附其投标单位授权委托书及身份证明。</w:t>
      </w:r>
    </w:p>
    <w:p>
      <w:pPr>
        <w:spacing w:line="360" w:lineRule="auto"/>
        <w:ind w:firstLine="0" w:firstLineChars="0"/>
        <w:rPr>
          <w:rFonts w:ascii="宋体" w:hAnsi="宋体" w:cs="宋体"/>
          <w:b w:val="0"/>
          <w:bCs w:val="0"/>
          <w:color w:val="auto"/>
          <w:spacing w:val="20"/>
          <w:sz w:val="24"/>
          <w:szCs w:val="24"/>
          <w:highlight w:val="none"/>
        </w:rPr>
      </w:pPr>
      <w:r>
        <w:rPr>
          <w:rFonts w:hint="eastAsia" w:ascii="宋体" w:hAnsi="宋体" w:cs="宋体"/>
          <w:b w:val="0"/>
          <w:bCs w:val="0"/>
          <w:color w:val="auto"/>
          <w:spacing w:val="20"/>
          <w:sz w:val="24"/>
          <w:szCs w:val="24"/>
          <w:highlight w:val="none"/>
        </w:rPr>
        <w:t xml:space="preserve">   3、公司近20年来参与低速机辅机系统项目相关业绩资料（需要提供商务合同、验收报告等证明材料）。</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 xml:space="preserve">   4、投标书纸质版份数为一正本四副本（另外，投标人须提供投标文件正本电子版资料一份）。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（三）投标文件内容还应包括：</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1、提供项目总体实施技术方案，包括深化设计、安装调试、项目组织及实施方案、项目施工计划、项目团队人员信息（</w:t>
      </w:r>
      <w:r>
        <w:rPr>
          <w:rFonts w:ascii="宋体" w:hAnsi="宋体" w:cs="宋体"/>
          <w:color w:val="auto"/>
          <w:spacing w:val="20"/>
          <w:sz w:val="24"/>
          <w:szCs w:val="24"/>
          <w:highlight w:val="none"/>
        </w:rPr>
        <w:t>项目</w:t>
      </w:r>
      <w:r>
        <w:rPr>
          <w:rFonts w:hint="eastAsia" w:ascii="宋体" w:hAnsi="宋体" w:cs="宋体"/>
          <w:color w:val="auto"/>
          <w:spacing w:val="20"/>
          <w:sz w:val="24"/>
          <w:szCs w:val="24"/>
          <w:highlight w:val="none"/>
        </w:rPr>
        <w:t>团队</w:t>
      </w:r>
      <w:r>
        <w:rPr>
          <w:rFonts w:ascii="宋体" w:hAnsi="宋体" w:cs="宋体"/>
          <w:color w:val="auto"/>
          <w:spacing w:val="20"/>
          <w:sz w:val="24"/>
          <w:szCs w:val="24"/>
          <w:highlight w:val="none"/>
        </w:rPr>
        <w:t>人员信息需要提供</w:t>
      </w:r>
      <w:r>
        <w:rPr>
          <w:rFonts w:hint="eastAsia" w:ascii="宋体" w:hAnsi="宋体" w:cs="宋体"/>
          <w:color w:val="auto"/>
          <w:spacing w:val="20"/>
          <w:sz w:val="24"/>
          <w:szCs w:val="24"/>
          <w:highlight w:val="none"/>
        </w:rPr>
        <w:t>参与本项目</w:t>
      </w:r>
      <w:r>
        <w:rPr>
          <w:rFonts w:ascii="宋体" w:hAnsi="宋体" w:cs="宋体"/>
          <w:color w:val="auto"/>
          <w:spacing w:val="20"/>
          <w:sz w:val="24"/>
          <w:szCs w:val="24"/>
          <w:highlight w:val="none"/>
        </w:rPr>
        <w:t>相关人员机电</w:t>
      </w:r>
      <w:r>
        <w:rPr>
          <w:rFonts w:hint="eastAsia" w:ascii="宋体" w:hAnsi="宋体" w:cs="宋体"/>
          <w:color w:val="auto"/>
          <w:spacing w:val="20"/>
          <w:sz w:val="24"/>
          <w:szCs w:val="24"/>
          <w:highlight w:val="none"/>
        </w:rPr>
        <w:t>、</w:t>
      </w:r>
      <w:r>
        <w:rPr>
          <w:rFonts w:ascii="宋体" w:hAnsi="宋体" w:cs="宋体"/>
          <w:color w:val="auto"/>
          <w:spacing w:val="20"/>
          <w:sz w:val="24"/>
          <w:szCs w:val="24"/>
          <w:highlight w:val="none"/>
        </w:rPr>
        <w:t>机械</w:t>
      </w:r>
      <w:r>
        <w:rPr>
          <w:rFonts w:hint="eastAsia" w:ascii="宋体" w:hAnsi="宋体" w:cs="宋体"/>
          <w:color w:val="auto"/>
          <w:spacing w:val="20"/>
          <w:sz w:val="24"/>
          <w:szCs w:val="24"/>
          <w:highlight w:val="none"/>
        </w:rPr>
        <w:t>（或柴油机）</w:t>
      </w:r>
      <w:r>
        <w:rPr>
          <w:rFonts w:ascii="宋体" w:hAnsi="宋体" w:cs="宋体"/>
          <w:color w:val="auto"/>
          <w:spacing w:val="20"/>
          <w:sz w:val="24"/>
          <w:szCs w:val="24"/>
          <w:highlight w:val="none"/>
        </w:rPr>
        <w:t>、电气、管路、液压等相关专业</w:t>
      </w:r>
      <w:r>
        <w:rPr>
          <w:rFonts w:hint="eastAsia" w:ascii="宋体" w:hAnsi="宋体" w:cs="宋体"/>
          <w:color w:val="auto"/>
          <w:spacing w:val="20"/>
          <w:sz w:val="24"/>
          <w:szCs w:val="24"/>
          <w:highlight w:val="none"/>
        </w:rPr>
        <w:t>的</w:t>
      </w:r>
      <w:r>
        <w:rPr>
          <w:rFonts w:ascii="宋体" w:hAnsi="宋体" w:cs="宋体"/>
          <w:color w:val="auto"/>
          <w:spacing w:val="20"/>
          <w:sz w:val="24"/>
          <w:szCs w:val="24"/>
          <w:highlight w:val="none"/>
        </w:rPr>
        <w:t>技术证书或职称证书，以及</w:t>
      </w:r>
      <w:r>
        <w:rPr>
          <w:rFonts w:hint="eastAsia" w:ascii="宋体" w:hAnsi="宋体" w:cs="宋体"/>
          <w:color w:val="auto"/>
          <w:spacing w:val="20"/>
          <w:sz w:val="24"/>
          <w:szCs w:val="24"/>
          <w:highlight w:val="none"/>
        </w:rPr>
        <w:t>相应</w:t>
      </w:r>
      <w:r>
        <w:rPr>
          <w:rFonts w:ascii="宋体" w:hAnsi="宋体" w:cs="宋体"/>
          <w:color w:val="auto"/>
          <w:spacing w:val="20"/>
          <w:sz w:val="24"/>
          <w:szCs w:val="24"/>
          <w:highlight w:val="none"/>
        </w:rPr>
        <w:t>简历和项目经验等</w:t>
      </w:r>
      <w:r>
        <w:rPr>
          <w:rFonts w:hint="eastAsia" w:ascii="宋体" w:hAnsi="宋体" w:cs="宋体"/>
          <w:color w:val="auto"/>
          <w:spacing w:val="20"/>
          <w:sz w:val="24"/>
          <w:szCs w:val="24"/>
          <w:highlight w:val="none"/>
        </w:rPr>
        <w:t>，工作经验以证书中载明的初始发证日期开始至今计算年限</w:t>
      </w:r>
      <w:r>
        <w:rPr>
          <w:rFonts w:ascii="宋体" w:hAnsi="宋体" w:cs="宋体"/>
          <w:color w:val="auto"/>
          <w:spacing w:val="20"/>
          <w:sz w:val="24"/>
          <w:szCs w:val="24"/>
          <w:highlight w:val="none"/>
        </w:rPr>
        <w:t>）</w:t>
      </w:r>
      <w:r>
        <w:rPr>
          <w:rFonts w:hint="eastAsia" w:ascii="宋体" w:hAnsi="宋体" w:cs="宋体"/>
          <w:color w:val="auto"/>
          <w:spacing w:val="20"/>
          <w:sz w:val="24"/>
          <w:szCs w:val="24"/>
          <w:highlight w:val="none"/>
        </w:rPr>
        <w:t>。</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2、提供计划中各系统详细的设备清单（含辅件材料）、配套土建和装修工程清单。</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提供低速机辅机系统安装调试进度安排计划，投标人（如需要）详细列出安装时须招标人配合的要求（格式自拟）。项目实施进度计划的描述：包对括项目实施进度计划合理性以及工期保证措施、设备采购组织方案完整性和合理性以及质量、安全保障措施的针对性和可行性等方面。</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（四）开标时，出现如下情况之一的为无效标：</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1、投标书的关键内容模糊或不能辨认的；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2、投标书有2个以上投标报价的；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3、投标书在投标截止时间后送达的；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4、投标书未密封和未在封条上加盖公章的。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5、投标书资料不齐全、不真实或与其他投标单位串通投标的。</w:t>
      </w:r>
    </w:p>
    <w:p>
      <w:pPr>
        <w:spacing w:line="360" w:lineRule="auto"/>
        <w:ind w:firstLine="0" w:firstLineChars="0"/>
        <w:rPr>
          <w:rFonts w:ascii="宋体" w:hAnsi="宋体" w:cs="宋体"/>
          <w:b/>
          <w:bCs/>
          <w:color w:val="auto"/>
          <w:spacing w:val="20"/>
          <w:sz w:val="24"/>
          <w:szCs w:val="24"/>
          <w:highlight w:val="none"/>
        </w:rPr>
      </w:pPr>
      <w:bookmarkStart w:id="555" w:name="_Hlk183870740"/>
      <w:r>
        <w:rPr>
          <w:rFonts w:hint="eastAsia" w:ascii="宋体" w:hAnsi="宋体" w:cs="宋体"/>
          <w:b/>
          <w:bCs/>
          <w:color w:val="auto"/>
          <w:spacing w:val="20"/>
          <w:sz w:val="24"/>
          <w:szCs w:val="24"/>
          <w:highlight w:val="none"/>
        </w:rPr>
        <w:t>（五）履约保证金额要求</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中标人提供的履约保证金额为合同总价的15%，须在合同签订后30天内以银行保函方式提交。</w:t>
      </w:r>
    </w:p>
    <w:bookmarkEnd w:id="555"/>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（六）投标截止时间、开标时间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1、递交投标文件时间： 2024年12月</w:t>
      </w:r>
      <w:r>
        <w:rPr>
          <w:rFonts w:hint="eastAsia" w:ascii="宋体" w:hAnsi="宋体" w:cs="宋体"/>
          <w:color w:val="auto"/>
          <w:spacing w:val="20"/>
          <w:sz w:val="24"/>
          <w:szCs w:val="24"/>
          <w:highlight w:val="none"/>
          <w:lang w:val="en-US" w:eastAsia="zh-CN"/>
        </w:rPr>
        <w:t>4</w:t>
      </w:r>
      <w:r>
        <w:rPr>
          <w:rFonts w:hint="eastAsia" w:ascii="宋体" w:hAnsi="宋体" w:cs="宋体"/>
          <w:color w:val="auto"/>
          <w:spacing w:val="20"/>
          <w:sz w:val="24"/>
          <w:szCs w:val="24"/>
          <w:highlight w:val="none"/>
        </w:rPr>
        <w:t>日8时00分（北京时间）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2、投标截止时间：    </w:t>
      </w: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2024年12月24日</w:t>
      </w:r>
      <w:r>
        <w:rPr>
          <w:rFonts w:hint="eastAsia" w:ascii="宋体" w:hAnsi="宋体" w:cs="宋体"/>
          <w:color w:val="auto"/>
          <w:spacing w:val="20"/>
          <w:sz w:val="24"/>
          <w:szCs w:val="24"/>
          <w:highlight w:val="none"/>
          <w:lang w:val="en-US" w:eastAsia="zh-CN"/>
        </w:rPr>
        <w:t>16</w:t>
      </w:r>
      <w:r>
        <w:rPr>
          <w:rFonts w:hint="eastAsia" w:ascii="宋体" w:hAnsi="宋体" w:cs="宋体"/>
          <w:color w:val="auto"/>
          <w:spacing w:val="20"/>
          <w:sz w:val="24"/>
          <w:szCs w:val="24"/>
          <w:highlight w:val="none"/>
        </w:rPr>
        <w:t>时</w:t>
      </w:r>
      <w:r>
        <w:rPr>
          <w:rFonts w:hint="eastAsia" w:ascii="宋体" w:hAnsi="宋体" w:cs="宋体"/>
          <w:color w:val="auto"/>
          <w:spacing w:val="20"/>
          <w:sz w:val="24"/>
          <w:szCs w:val="24"/>
          <w:highlight w:val="none"/>
          <w:lang w:val="en-US" w:eastAsia="zh-CN"/>
        </w:rPr>
        <w:t>30</w:t>
      </w:r>
      <w:r>
        <w:rPr>
          <w:rFonts w:hint="eastAsia" w:ascii="宋体" w:hAnsi="宋体" w:cs="宋体"/>
          <w:color w:val="auto"/>
          <w:spacing w:val="20"/>
          <w:sz w:val="24"/>
          <w:szCs w:val="24"/>
          <w:highlight w:val="none"/>
        </w:rPr>
        <w:t xml:space="preserve">分（北京时间）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3、递交投标文件地点：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广州市荔湾区芳村大道东73号，广州柴油机厂股份有限公司工艺部</w:t>
      </w:r>
    </w:p>
    <w:p>
      <w:pPr>
        <w:numPr>
          <w:ilvl w:val="0"/>
          <w:numId w:val="2"/>
        </w:num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招标联系人:帅工，联系方式：13660805455</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邓工，联系方式：13760818780</w:t>
      </w:r>
    </w:p>
    <w:p>
      <w:pPr>
        <w:numPr>
          <w:ilvl w:val="0"/>
          <w:numId w:val="2"/>
        </w:num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开标时间： 2024年12月25日</w:t>
      </w:r>
      <w:r>
        <w:rPr>
          <w:rFonts w:hint="eastAsia" w:ascii="宋体" w:hAnsi="宋体" w:cs="宋体"/>
          <w:color w:val="auto"/>
          <w:spacing w:val="20"/>
          <w:sz w:val="24"/>
          <w:szCs w:val="24"/>
          <w:highlight w:val="none"/>
          <w:lang w:val="en-US" w:eastAsia="zh-CN"/>
        </w:rPr>
        <w:t>8</w:t>
      </w:r>
      <w:r>
        <w:rPr>
          <w:rFonts w:hint="eastAsia" w:ascii="宋体" w:hAnsi="宋体" w:cs="宋体"/>
          <w:color w:val="auto"/>
          <w:spacing w:val="20"/>
          <w:sz w:val="24"/>
          <w:szCs w:val="24"/>
          <w:highlight w:val="none"/>
        </w:rPr>
        <w:t>时</w:t>
      </w:r>
      <w:r>
        <w:rPr>
          <w:rFonts w:hint="eastAsia" w:ascii="宋体" w:hAnsi="宋体" w:cs="宋体"/>
          <w:color w:val="auto"/>
          <w:spacing w:val="20"/>
          <w:sz w:val="24"/>
          <w:szCs w:val="24"/>
          <w:highlight w:val="none"/>
          <w:lang w:val="en-US" w:eastAsia="zh-CN"/>
        </w:rPr>
        <w:t>30</w:t>
      </w:r>
      <w:r>
        <w:rPr>
          <w:rFonts w:hint="eastAsia" w:ascii="宋体" w:hAnsi="宋体" w:cs="宋体"/>
          <w:color w:val="auto"/>
          <w:spacing w:val="20"/>
          <w:sz w:val="24"/>
          <w:szCs w:val="24"/>
          <w:highlight w:val="none"/>
        </w:rPr>
        <w:t>分（北京时间）</w:t>
      </w:r>
    </w:p>
    <w:p>
      <w:pPr>
        <w:widowControl w:val="0"/>
        <w:numPr>
          <w:numId w:val="0"/>
        </w:numPr>
        <w:spacing w:line="360" w:lineRule="auto"/>
        <w:jc w:val="both"/>
        <w:rPr>
          <w:rFonts w:hint="eastAsia" w:ascii="宋体" w:hAnsi="宋体" w:cs="宋体"/>
          <w:color w:val="auto"/>
          <w:spacing w:val="20"/>
          <w:sz w:val="24"/>
          <w:szCs w:val="24"/>
          <w:highlight w:val="none"/>
        </w:rPr>
      </w:pPr>
    </w:p>
    <w:p>
      <w:pPr>
        <w:widowControl w:val="0"/>
        <w:numPr>
          <w:numId w:val="0"/>
        </w:numPr>
        <w:spacing w:line="360" w:lineRule="auto"/>
        <w:jc w:val="both"/>
        <w:rPr>
          <w:rFonts w:hint="eastAsia" w:ascii="宋体" w:hAnsi="宋体" w:cs="宋体"/>
          <w:color w:val="auto"/>
          <w:spacing w:val="20"/>
          <w:sz w:val="24"/>
          <w:szCs w:val="24"/>
          <w:highlight w:val="none"/>
        </w:rPr>
      </w:pPr>
    </w:p>
    <w:p>
      <w:pPr>
        <w:widowControl w:val="0"/>
        <w:numPr>
          <w:numId w:val="0"/>
        </w:numPr>
        <w:spacing w:line="360" w:lineRule="auto"/>
        <w:jc w:val="both"/>
        <w:rPr>
          <w:rFonts w:hint="eastAsia" w:ascii="宋体" w:hAnsi="宋体" w:cs="宋体"/>
          <w:color w:val="auto"/>
          <w:spacing w:val="20"/>
          <w:sz w:val="24"/>
          <w:szCs w:val="24"/>
          <w:highlight w:val="none"/>
        </w:rPr>
      </w:pPr>
    </w:p>
    <w:p>
      <w:pPr>
        <w:widowControl w:val="0"/>
        <w:numPr>
          <w:numId w:val="0"/>
        </w:numPr>
        <w:spacing w:line="360" w:lineRule="auto"/>
        <w:jc w:val="both"/>
        <w:rPr>
          <w:rFonts w:hint="eastAsia" w:ascii="宋体" w:hAnsi="宋体" w:cs="宋体"/>
          <w:color w:val="auto"/>
          <w:spacing w:val="20"/>
          <w:sz w:val="24"/>
          <w:szCs w:val="24"/>
          <w:highlight w:val="none"/>
        </w:rPr>
      </w:pP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广州柴油机厂股份有限公司 </w:t>
      </w:r>
    </w:p>
    <w:p>
      <w:pPr>
        <w:spacing w:line="360" w:lineRule="auto"/>
        <w:ind w:firstLine="560"/>
        <w:rPr>
          <w:rFonts w:ascii="宋体" w:hAnsi="宋体" w:cs="宋体"/>
          <w:b/>
          <w:bCs/>
          <w:color w:val="auto"/>
          <w:szCs w:val="21"/>
          <w:highlight w:val="none"/>
        </w:rPr>
      </w:pPr>
      <w:r>
        <w:rPr>
          <w:rFonts w:hint="eastAsia" w:ascii="宋体" w:hAnsi="宋体" w:cs="宋体"/>
          <w:color w:val="auto"/>
          <w:spacing w:val="20"/>
          <w:sz w:val="24"/>
          <w:szCs w:val="24"/>
          <w:highlight w:val="none"/>
        </w:rPr>
        <w:t xml:space="preserve">                                     2024年12月</w:t>
      </w:r>
      <w:r>
        <w:rPr>
          <w:rFonts w:hint="eastAsia" w:ascii="宋体" w:hAnsi="宋体" w:cs="宋体"/>
          <w:color w:val="auto"/>
          <w:spacing w:val="20"/>
          <w:sz w:val="24"/>
          <w:szCs w:val="24"/>
          <w:highlight w:val="none"/>
          <w:lang w:val="en-US" w:eastAsia="zh-CN"/>
        </w:rPr>
        <w:t>3</w:t>
      </w:r>
      <w:r>
        <w:rPr>
          <w:rFonts w:hint="eastAsia" w:ascii="宋体" w:hAnsi="宋体" w:cs="宋体"/>
          <w:color w:val="auto"/>
          <w:spacing w:val="20"/>
          <w:sz w:val="24"/>
          <w:szCs w:val="24"/>
          <w:highlight w:val="none"/>
        </w:rPr>
        <w:t>日</w:t>
      </w: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 xml:space="preserve">附件资料： </w:t>
      </w:r>
    </w:p>
    <w:p>
      <w:pPr>
        <w:keepLines/>
        <w:numPr>
          <w:ilvl w:val="0"/>
          <w:numId w:val="3"/>
        </w:numPr>
        <w:spacing w:line="240" w:lineRule="auto"/>
        <w:ind w:firstLine="0" w:firstLineChars="0"/>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《投标人项目报价清单明细表》</w:t>
      </w:r>
    </w:p>
    <w:p>
      <w:pPr>
        <w:keepLines/>
        <w:numPr>
          <w:ilvl w:val="0"/>
          <w:numId w:val="3"/>
        </w:numPr>
        <w:spacing w:line="240" w:lineRule="auto"/>
        <w:ind w:firstLine="0" w:firstLineChars="0"/>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《投标申请人声明》</w:t>
      </w:r>
    </w:p>
    <w:p>
      <w:pPr>
        <w:widowControl/>
        <w:numPr>
          <w:ilvl w:val="0"/>
          <w:numId w:val="3"/>
        </w:numPr>
        <w:spacing w:line="240" w:lineRule="auto"/>
        <w:ind w:firstLine="0" w:firstLineChars="0"/>
        <w:rPr>
          <w:rFonts w:ascii="宋体" w:hAnsi="宋体" w:cs="宋体"/>
          <w:b/>
          <w:bCs/>
          <w:color w:val="auto"/>
          <w:sz w:val="18"/>
          <w:szCs w:val="18"/>
          <w:highlight w:val="none"/>
        </w:rPr>
      </w:pPr>
      <w:r>
        <w:rPr>
          <w:rFonts w:hint="eastAsia" w:ascii="宋体" w:hAnsi="宋体" w:cs="宋体"/>
          <w:b/>
          <w:bCs/>
          <w:color w:val="auto"/>
          <w:sz w:val="18"/>
          <w:szCs w:val="18"/>
          <w:highlight w:val="none"/>
        </w:rPr>
        <w:t>《履约银行保函》、《履约保证书》</w:t>
      </w:r>
    </w:p>
    <w:p>
      <w:pPr>
        <w:widowControl/>
        <w:numPr>
          <w:ilvl w:val="0"/>
          <w:numId w:val="3"/>
        </w:numPr>
        <w:spacing w:line="240" w:lineRule="auto"/>
        <w:ind w:firstLine="0" w:firstLineChars="0"/>
        <w:rPr>
          <w:rFonts w:ascii="宋体" w:hAnsi="宋体" w:cs="宋体"/>
          <w:b/>
          <w:bCs/>
          <w:color w:val="auto"/>
          <w:sz w:val="18"/>
          <w:szCs w:val="18"/>
          <w:highlight w:val="none"/>
        </w:rPr>
      </w:pPr>
      <w:r>
        <w:rPr>
          <w:rFonts w:hint="eastAsia" w:ascii="宋体" w:hAnsi="宋体" w:cs="宋体"/>
          <w:b/>
          <w:bCs/>
          <w:color w:val="auto"/>
          <w:sz w:val="18"/>
          <w:szCs w:val="18"/>
          <w:highlight w:val="none"/>
        </w:rPr>
        <w:t>《投标书》</w:t>
      </w:r>
    </w:p>
    <w:p>
      <w:pPr>
        <w:widowControl/>
        <w:numPr>
          <w:ilvl w:val="0"/>
          <w:numId w:val="3"/>
        </w:numPr>
        <w:spacing w:line="240" w:lineRule="auto"/>
        <w:ind w:firstLine="0" w:firstLineChars="0"/>
        <w:rPr>
          <w:rFonts w:ascii="宋体" w:hAnsi="宋体" w:cs="宋体"/>
          <w:b/>
          <w:bCs/>
          <w:color w:val="auto"/>
          <w:sz w:val="18"/>
          <w:szCs w:val="18"/>
          <w:highlight w:val="none"/>
        </w:rPr>
      </w:pPr>
      <w:r>
        <w:rPr>
          <w:rFonts w:hint="eastAsia" w:ascii="宋体" w:hAnsi="宋体" w:cs="宋体"/>
          <w:b/>
          <w:bCs/>
          <w:color w:val="auto"/>
          <w:sz w:val="18"/>
          <w:szCs w:val="18"/>
          <w:highlight w:val="none"/>
        </w:rPr>
        <w:t>《销售合同范本》</w:t>
      </w:r>
    </w:p>
    <w:p>
      <w:pPr>
        <w:widowControl/>
        <w:numPr>
          <w:ilvl w:val="0"/>
          <w:numId w:val="3"/>
        </w:numPr>
        <w:spacing w:line="240" w:lineRule="auto"/>
        <w:ind w:firstLine="0" w:firstLineChars="0"/>
        <w:rPr>
          <w:rFonts w:ascii="宋体" w:hAnsi="宋体" w:cs="宋体"/>
          <w:b/>
          <w:bCs/>
          <w:color w:val="auto"/>
          <w:sz w:val="18"/>
          <w:szCs w:val="18"/>
          <w:highlight w:val="none"/>
        </w:rPr>
      </w:pPr>
      <w:r>
        <w:rPr>
          <w:rFonts w:hint="eastAsia" w:ascii="宋体" w:hAnsi="宋体" w:cs="宋体"/>
          <w:b/>
          <w:bCs/>
          <w:color w:val="auto"/>
          <w:sz w:val="18"/>
          <w:szCs w:val="18"/>
          <w:highlight w:val="none"/>
        </w:rPr>
        <w:t>《评标办法》</w:t>
      </w:r>
    </w:p>
    <w:p>
      <w:pPr>
        <w:keepLines/>
        <w:spacing w:line="240" w:lineRule="auto"/>
        <w:ind w:firstLine="0" w:firstLineChars="0"/>
        <w:jc w:val="left"/>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注：附件资料可从广州柴油机厂股份有限公司网站http://www.gdfdiesel.com.cn下载</w:t>
      </w: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keepLines/>
        <w:spacing w:line="240" w:lineRule="auto"/>
        <w:ind w:firstLine="0" w:firstLineChars="0"/>
        <w:jc w:val="left"/>
        <w:rPr>
          <w:rFonts w:hint="eastAsia" w:ascii="宋体" w:hAnsi="宋体" w:cs="宋体"/>
          <w:b/>
          <w:bCs/>
          <w:color w:val="auto"/>
          <w:sz w:val="18"/>
          <w:szCs w:val="18"/>
          <w:highlight w:val="none"/>
        </w:rPr>
      </w:pPr>
    </w:p>
    <w:p>
      <w:pPr>
        <w:tabs>
          <w:tab w:val="left" w:pos="1460"/>
        </w:tabs>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附件1:</w:t>
      </w:r>
    </w:p>
    <w:p>
      <w:pPr>
        <w:tabs>
          <w:tab w:val="left" w:pos="1460"/>
        </w:tabs>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投标人参照附件1</w:t>
      </w:r>
      <w:r>
        <w:rPr>
          <w:rFonts w:hint="eastAsia" w:ascii="宋体" w:hAnsi="宋体" w:cs="宋体"/>
          <w:color w:val="auto"/>
          <w:spacing w:val="20"/>
          <w:sz w:val="24"/>
          <w:szCs w:val="24"/>
          <w:highlight w:val="none"/>
          <w:lang w:eastAsia="zh-CN"/>
        </w:rPr>
        <w:t>（表格）</w:t>
      </w:r>
      <w:r>
        <w:rPr>
          <w:rFonts w:hint="eastAsia" w:ascii="宋体" w:hAnsi="宋体" w:cs="宋体"/>
          <w:color w:val="auto"/>
          <w:spacing w:val="20"/>
          <w:sz w:val="24"/>
          <w:szCs w:val="24"/>
          <w:highlight w:val="none"/>
        </w:rPr>
        <w:t>《投标人项目报价清单明细表》格式，按本招标文件要求，提供详细的信息清单。</w:t>
      </w: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p>
    <w:p>
      <w:pPr>
        <w:ind w:firstLine="0" w:firstLineChars="0"/>
        <w:rPr>
          <w:rFonts w:hint="eastAsia" w:ascii="宋体" w:hAnsi="宋体" w:cs="宋体"/>
          <w:color w:val="auto"/>
          <w:sz w:val="24"/>
          <w:szCs w:val="24"/>
          <w:highlight w:val="none"/>
        </w:rPr>
      </w:pPr>
    </w:p>
    <w:p>
      <w:pPr>
        <w:ind w:firstLine="0" w:firstLineChars="0"/>
        <w:rPr>
          <w:rFonts w:hint="eastAsia" w:ascii="宋体" w:hAnsi="宋体" w:cs="宋体"/>
          <w:color w:val="auto"/>
          <w:sz w:val="24"/>
          <w:szCs w:val="24"/>
          <w:highlight w:val="none"/>
        </w:rPr>
      </w:pPr>
    </w:p>
    <w:p>
      <w:pPr>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附件2：</w:t>
      </w:r>
    </w:p>
    <w:p>
      <w:pPr>
        <w:spacing w:line="360" w:lineRule="auto"/>
        <w:ind w:firstLine="682"/>
        <w:jc w:val="center"/>
        <w:rPr>
          <w:rFonts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投标申请人声明</w:t>
      </w:r>
    </w:p>
    <w:p>
      <w:pPr>
        <w:pStyle w:val="32"/>
        <w:ind w:firstLine="0"/>
        <w:rPr>
          <w:color w:val="auto"/>
          <w:highlight w:val="none"/>
        </w:rPr>
      </w:pPr>
    </w:p>
    <w:p>
      <w:pPr>
        <w:spacing w:line="24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广州柴油机厂股份有限公司： </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本公司就参加投标工作，作出郑重声明： </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本公司保证投标报名及其后提供的一切材料都是真实的。</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本公司保证在本项目投标中不与其他单位围标、串标，不出让投标资格，不向招标人或评标委员会成员行贿。</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若本公司在投标过程中提供虚假材料或存在廉洁方面的问题或存在商业贿赂或存在围标串标等情况的，一经招标人认定，我方将自愿放弃本项目及今后三年内参与广州柴油机厂股份有限公司及其下属公司组织的招标项目的投标资格。</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没有处于被责令停业的状态；没有处于被建设行政主管部门取消投标资格的处罚期内；没有处于财产被接管、冻结、破产的状态；在投标报名截止日期前两年内没有建设行政主管部门已书面认定的重大工程质量问题；本公司没有被人民法院列入失信被执行人名单；参加本项目前三年内，在经营活动中没有重大违法记录；</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本公司及其有隶属关系的机构没有参加本项目招标文件编写等工作；本公司与招标单位没有隶属关系或其他利害关系。 </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本公司承诺，中标后不转包或违法分包，在履约过程中，严格执行安全生产相关管理规定。</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公司违反上述保证，或本声明陈述与事实不符，经查实，本公司愿意接受公开通报，承担由此带来的法律后果（包括但不限于中标无效/取消投标或中标资格、招标不予退还投标保证金/履约保证金、招标人解除合同、赔偿给招标人造成的全部损失），并自愿停止参加广州市行政辖区内的招标投标活动三个月。</w:t>
      </w:r>
    </w:p>
    <w:p>
      <w:pPr>
        <w:spacing w:line="24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特此声明 </w:t>
      </w:r>
    </w:p>
    <w:p>
      <w:pPr>
        <w:spacing w:line="240" w:lineRule="auto"/>
        <w:ind w:firstLine="560"/>
        <w:rPr>
          <w:rFonts w:ascii="宋体" w:hAnsi="宋体" w:cs="宋体"/>
          <w:color w:val="auto"/>
          <w:spacing w:val="20"/>
          <w:sz w:val="24"/>
          <w:szCs w:val="24"/>
          <w:highlight w:val="none"/>
        </w:rPr>
      </w:pPr>
    </w:p>
    <w:p>
      <w:pPr>
        <w:spacing w:line="240" w:lineRule="auto"/>
        <w:ind w:firstLine="560"/>
        <w:rPr>
          <w:rFonts w:ascii="宋体" w:hAnsi="宋体" w:cs="宋体"/>
          <w:color w:val="auto"/>
          <w:spacing w:val="20"/>
          <w:sz w:val="24"/>
          <w:szCs w:val="24"/>
          <w:highlight w:val="none"/>
        </w:rPr>
      </w:pPr>
    </w:p>
    <w:p>
      <w:pPr>
        <w:spacing w:line="240" w:lineRule="auto"/>
        <w:ind w:firstLine="560"/>
        <w:rPr>
          <w:rFonts w:ascii="宋体" w:hAnsi="宋体" w:cs="宋体"/>
          <w:color w:val="auto"/>
          <w:spacing w:val="20"/>
          <w:sz w:val="24"/>
          <w:szCs w:val="24"/>
          <w:highlight w:val="none"/>
        </w:rPr>
      </w:pPr>
    </w:p>
    <w:p>
      <w:pPr>
        <w:spacing w:line="240" w:lineRule="auto"/>
        <w:ind w:firstLine="560"/>
        <w:rPr>
          <w:rFonts w:ascii="宋体" w:hAnsi="宋体" w:cs="宋体"/>
          <w:color w:val="auto"/>
          <w:spacing w:val="20"/>
          <w:sz w:val="24"/>
          <w:szCs w:val="24"/>
          <w:highlight w:val="none"/>
        </w:rPr>
      </w:pPr>
    </w:p>
    <w:p>
      <w:pPr>
        <w:spacing w:line="240" w:lineRule="auto"/>
        <w:ind w:firstLine="56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声明企业(企业公章)：</w:t>
      </w:r>
    </w:p>
    <w:p>
      <w:pPr>
        <w:spacing w:line="240" w:lineRule="auto"/>
        <w:ind w:firstLine="56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法定代表人（签字）：</w:t>
      </w:r>
    </w:p>
    <w:p>
      <w:pPr>
        <w:spacing w:line="240" w:lineRule="auto"/>
        <w:ind w:firstLine="56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年  月  日</w:t>
      </w:r>
    </w:p>
    <w:p>
      <w:pPr>
        <w:topLinePunct w:val="1"/>
        <w:adjustRightInd w:val="0"/>
        <w:snapToGrid w:val="0"/>
        <w:spacing w:line="360" w:lineRule="auto"/>
        <w:ind w:firstLine="0" w:firstLineChars="0"/>
        <w:rPr>
          <w:rFonts w:ascii="宋体" w:hAnsi="宋体" w:cs="宋体"/>
          <w:bCs/>
          <w:snapToGrid w:val="0"/>
          <w:color w:val="auto"/>
          <w:spacing w:val="4"/>
          <w:sz w:val="24"/>
          <w:szCs w:val="24"/>
          <w:highlight w:val="none"/>
        </w:rPr>
      </w:pPr>
    </w:p>
    <w:p>
      <w:pPr>
        <w:topLinePunct w:val="1"/>
        <w:adjustRightInd w:val="0"/>
        <w:snapToGrid w:val="0"/>
        <w:spacing w:line="360" w:lineRule="auto"/>
        <w:ind w:firstLine="0" w:firstLineChars="0"/>
        <w:rPr>
          <w:rFonts w:ascii="宋体" w:hAnsi="宋体" w:cs="宋体"/>
          <w:bCs/>
          <w:snapToGrid w:val="0"/>
          <w:color w:val="auto"/>
          <w:spacing w:val="4"/>
          <w:sz w:val="24"/>
          <w:szCs w:val="24"/>
          <w:highlight w:val="none"/>
        </w:rPr>
      </w:pPr>
    </w:p>
    <w:p>
      <w:pPr>
        <w:topLinePunct w:val="1"/>
        <w:adjustRightInd w:val="0"/>
        <w:snapToGrid w:val="0"/>
        <w:spacing w:line="360" w:lineRule="auto"/>
        <w:ind w:firstLine="0" w:firstLineChars="0"/>
        <w:rPr>
          <w:rFonts w:ascii="宋体" w:hAnsi="宋体" w:cs="宋体"/>
          <w:bCs/>
          <w:snapToGrid w:val="0"/>
          <w:color w:val="auto"/>
          <w:spacing w:val="4"/>
          <w:sz w:val="24"/>
          <w:szCs w:val="24"/>
          <w:highlight w:val="none"/>
        </w:rPr>
      </w:pPr>
    </w:p>
    <w:p>
      <w:pPr>
        <w:topLinePunct w:val="1"/>
        <w:adjustRightInd w:val="0"/>
        <w:snapToGrid w:val="0"/>
        <w:spacing w:line="360" w:lineRule="auto"/>
        <w:ind w:firstLine="0" w:firstLineChars="0"/>
        <w:rPr>
          <w:rFonts w:ascii="宋体" w:hAnsi="宋体" w:cs="宋体"/>
          <w:bCs/>
          <w:snapToGrid w:val="0"/>
          <w:color w:val="auto"/>
          <w:spacing w:val="4"/>
          <w:sz w:val="24"/>
          <w:szCs w:val="24"/>
          <w:highlight w:val="none"/>
        </w:rPr>
      </w:pPr>
    </w:p>
    <w:p>
      <w:pPr>
        <w:topLinePunct w:val="1"/>
        <w:adjustRightInd w:val="0"/>
        <w:snapToGrid w:val="0"/>
        <w:spacing w:line="360" w:lineRule="auto"/>
        <w:ind w:firstLine="0" w:firstLineChars="0"/>
        <w:rPr>
          <w:rFonts w:ascii="宋体" w:hAnsi="宋体" w:cs="宋体"/>
          <w:bCs/>
          <w:snapToGrid w:val="0"/>
          <w:color w:val="auto"/>
          <w:spacing w:val="4"/>
          <w:sz w:val="24"/>
          <w:szCs w:val="24"/>
          <w:highlight w:val="none"/>
        </w:rPr>
      </w:pPr>
    </w:p>
    <w:p>
      <w:pPr>
        <w:topLinePunct w:val="1"/>
        <w:adjustRightInd w:val="0"/>
        <w:snapToGrid w:val="0"/>
        <w:spacing w:line="360" w:lineRule="auto"/>
        <w:ind w:firstLine="0" w:firstLineChars="0"/>
        <w:rPr>
          <w:rFonts w:ascii="宋体" w:hAnsi="宋体" w:cs="宋体"/>
          <w:bCs/>
          <w:snapToGrid w:val="0"/>
          <w:color w:val="auto"/>
          <w:spacing w:val="4"/>
          <w:sz w:val="24"/>
          <w:szCs w:val="24"/>
          <w:highlight w:val="none"/>
        </w:rPr>
      </w:pPr>
    </w:p>
    <w:p>
      <w:pPr>
        <w:topLinePunct w:val="1"/>
        <w:adjustRightInd w:val="0"/>
        <w:snapToGrid w:val="0"/>
        <w:spacing w:line="360" w:lineRule="auto"/>
        <w:ind w:firstLine="0" w:firstLineChars="0"/>
        <w:rPr>
          <w:rFonts w:ascii="宋体" w:hAnsi="宋体" w:cs="宋体"/>
          <w:bCs/>
          <w:snapToGrid w:val="0"/>
          <w:color w:val="auto"/>
          <w:spacing w:val="4"/>
          <w:sz w:val="24"/>
          <w:szCs w:val="24"/>
          <w:highlight w:val="none"/>
        </w:rPr>
      </w:pPr>
    </w:p>
    <w:p>
      <w:pPr>
        <w:topLinePunct w:val="1"/>
        <w:adjustRightInd w:val="0"/>
        <w:snapToGrid w:val="0"/>
        <w:spacing w:line="360" w:lineRule="auto"/>
        <w:ind w:firstLine="0" w:firstLineChars="0"/>
        <w:rPr>
          <w:rFonts w:ascii="宋体" w:hAnsi="宋体" w:cs="宋体"/>
          <w:bCs/>
          <w:snapToGrid w:val="0"/>
          <w:color w:val="auto"/>
          <w:spacing w:val="4"/>
          <w:sz w:val="24"/>
          <w:szCs w:val="24"/>
          <w:highlight w:val="none"/>
        </w:rPr>
      </w:pPr>
      <w:r>
        <w:rPr>
          <w:rFonts w:hint="eastAsia" w:ascii="宋体" w:hAnsi="宋体" w:cs="宋体"/>
          <w:bCs/>
          <w:snapToGrid w:val="0"/>
          <w:color w:val="auto"/>
          <w:spacing w:val="4"/>
          <w:sz w:val="24"/>
          <w:szCs w:val="24"/>
          <w:highlight w:val="none"/>
        </w:rPr>
        <w:t>附件3-1:</w:t>
      </w:r>
    </w:p>
    <w:p>
      <w:pPr>
        <w:topLinePunct w:val="1"/>
        <w:adjustRightInd w:val="0"/>
        <w:snapToGrid w:val="0"/>
        <w:spacing w:line="360" w:lineRule="auto"/>
        <w:ind w:firstLine="0" w:firstLineChars="0"/>
        <w:jc w:val="center"/>
        <w:rPr>
          <w:rFonts w:ascii="宋体" w:hAnsi="宋体" w:cs="宋体"/>
          <w:b/>
          <w:snapToGrid w:val="0"/>
          <w:color w:val="auto"/>
          <w:spacing w:val="4"/>
          <w:sz w:val="36"/>
          <w:szCs w:val="36"/>
          <w:highlight w:val="none"/>
        </w:rPr>
      </w:pPr>
      <w:r>
        <w:rPr>
          <w:rFonts w:hint="eastAsia" w:ascii="宋体" w:hAnsi="宋体" w:cs="宋体"/>
          <w:b/>
          <w:snapToGrid w:val="0"/>
          <w:color w:val="auto"/>
          <w:spacing w:val="4"/>
          <w:sz w:val="36"/>
          <w:szCs w:val="36"/>
          <w:highlight w:val="none"/>
        </w:rPr>
        <w:t>履约银行保函（格式）</w:t>
      </w:r>
    </w:p>
    <w:p>
      <w:pPr>
        <w:widowControl/>
        <w:adjustRightInd w:val="0"/>
        <w:snapToGrid w:val="0"/>
        <w:spacing w:line="288" w:lineRule="auto"/>
        <w:ind w:firstLine="0" w:firstLineChars="0"/>
        <w:jc w:val="left"/>
        <w:rPr>
          <w:rFonts w:ascii="宋体" w:hAnsi="宋体" w:cs="宋体"/>
          <w:b/>
          <w:snapToGrid w:val="0"/>
          <w:color w:val="auto"/>
          <w:kern w:val="0"/>
          <w:sz w:val="24"/>
          <w:szCs w:val="20"/>
          <w:highlight w:val="none"/>
        </w:rPr>
      </w:pPr>
    </w:p>
    <w:p>
      <w:pPr>
        <w:widowControl/>
        <w:spacing w:line="360" w:lineRule="auto"/>
        <w:ind w:firstLine="0" w:firstLineChars="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广州柴油机厂股份有限公司：</w:t>
      </w:r>
    </w:p>
    <w:p>
      <w:pPr>
        <w:widowControl/>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鉴于（以下称供货商）已于_____年___月___日与你单位订立《合同》（合同编号：  ， 以下简称“合同”）。我行同意为供货商出具合同总价</w:t>
      </w:r>
      <w:r>
        <w:rPr>
          <w:rFonts w:hint="eastAsia" w:ascii="宋体" w:hAnsi="宋体" w:cs="宋体"/>
          <w:b/>
          <w:bCs/>
          <w:snapToGrid w:val="0"/>
          <w:color w:val="auto"/>
          <w:kern w:val="0"/>
          <w:szCs w:val="21"/>
          <w:highlight w:val="none"/>
        </w:rPr>
        <w:t>15%</w:t>
      </w:r>
      <w:r>
        <w:rPr>
          <w:rFonts w:hint="eastAsia" w:ascii="宋体" w:hAnsi="宋体" w:cs="宋体"/>
          <w:snapToGrid w:val="0"/>
          <w:color w:val="auto"/>
          <w:kern w:val="0"/>
          <w:szCs w:val="21"/>
          <w:highlight w:val="none"/>
        </w:rPr>
        <w:t>（即：</w:t>
      </w:r>
      <w:r>
        <w:rPr>
          <w:rFonts w:hint="eastAsia" w:ascii="宋体" w:hAnsi="宋体" w:cs="宋体"/>
          <w:b/>
          <w:snapToGrid w:val="0"/>
          <w:color w:val="auto"/>
          <w:kern w:val="0"/>
          <w:szCs w:val="21"/>
          <w:highlight w:val="none"/>
        </w:rPr>
        <w:t>人民币，</w:t>
      </w:r>
      <w:r>
        <w:rPr>
          <w:rFonts w:hint="eastAsia" w:ascii="宋体" w:hAnsi="宋体" w:cs="宋体"/>
          <w:b/>
          <w:snapToGrid w:val="0"/>
          <w:color w:val="auto"/>
          <w:kern w:val="0"/>
          <w:szCs w:val="21"/>
          <w:highlight w:val="none"/>
          <w:u w:val="single"/>
        </w:rPr>
        <w:t>￥</w:t>
      </w:r>
      <w:r>
        <w:rPr>
          <w:rFonts w:hint="eastAsia" w:ascii="宋体" w:hAnsi="宋体" w:cs="宋体"/>
          <w:b/>
          <w:snapToGrid w:val="0"/>
          <w:color w:val="auto"/>
          <w:kern w:val="0"/>
          <w:szCs w:val="21"/>
          <w:highlight w:val="none"/>
        </w:rPr>
        <w:t>元</w:t>
      </w:r>
      <w:r>
        <w:rPr>
          <w:rFonts w:hint="eastAsia" w:ascii="宋体" w:hAnsi="宋体" w:cs="宋体"/>
          <w:snapToGrid w:val="0"/>
          <w:color w:val="auto"/>
          <w:kern w:val="0"/>
          <w:szCs w:val="21"/>
          <w:highlight w:val="none"/>
        </w:rPr>
        <w:t>）的</w:t>
      </w:r>
      <w:r>
        <w:rPr>
          <w:rFonts w:hint="eastAsia" w:ascii="宋体" w:hAnsi="宋体" w:cs="宋体"/>
          <w:color w:val="auto"/>
          <w:kern w:val="0"/>
          <w:szCs w:val="21"/>
          <w:highlight w:val="none"/>
        </w:rPr>
        <w:t>不可撤销的、见索即付履约</w:t>
      </w:r>
      <w:r>
        <w:rPr>
          <w:rFonts w:hint="eastAsia" w:ascii="宋体" w:hAnsi="宋体" w:cs="宋体"/>
          <w:snapToGrid w:val="0"/>
          <w:color w:val="auto"/>
          <w:kern w:val="0"/>
          <w:szCs w:val="21"/>
          <w:highlight w:val="none"/>
        </w:rPr>
        <w:t>保函作为供货商向你单位履约的担保。担保的范围为：供货商按合同约定应向你单位履行的全部义务和责任，包括但不限于合同约定的债务，应向你单位支付的利息，在设备质量及技术服务期等各方面的违约金，损害赔偿金，实现债权的费用。</w:t>
      </w:r>
    </w:p>
    <w:p>
      <w:pPr>
        <w:widowControl/>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我行承诺如下：</w:t>
      </w:r>
    </w:p>
    <w:p>
      <w:pPr>
        <w:widowControl/>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color w:val="auto"/>
          <w:kern w:val="0"/>
          <w:szCs w:val="21"/>
          <w:highlight w:val="none"/>
        </w:rPr>
        <w:t>我行在保函有效期内收到</w:t>
      </w:r>
      <w:r>
        <w:rPr>
          <w:rFonts w:hint="eastAsia" w:ascii="宋体" w:hAnsi="宋体" w:cs="宋体"/>
          <w:snapToGrid w:val="0"/>
          <w:color w:val="auto"/>
          <w:kern w:val="0"/>
          <w:szCs w:val="21"/>
          <w:highlight w:val="none"/>
        </w:rPr>
        <w:t>你单位</w:t>
      </w:r>
      <w:r>
        <w:rPr>
          <w:rFonts w:hint="eastAsia" w:ascii="宋体" w:hAnsi="宋体" w:cs="宋体"/>
          <w:color w:val="auto"/>
          <w:kern w:val="0"/>
          <w:szCs w:val="21"/>
          <w:highlight w:val="none"/>
        </w:rPr>
        <w:t>提出的书面索赔通知纸质原件和本保函正本原件之日起的</w:t>
      </w:r>
      <w:r>
        <w:rPr>
          <w:rFonts w:hint="eastAsia" w:ascii="宋体" w:hAnsi="宋体" w:cs="宋体"/>
          <w:color w:val="auto"/>
          <w:kern w:val="0"/>
          <w:szCs w:val="21"/>
          <w:highlight w:val="none"/>
          <w:u w:val="single"/>
        </w:rPr>
        <w:t>10个银行工作日</w:t>
      </w:r>
      <w:r>
        <w:rPr>
          <w:rFonts w:hint="eastAsia" w:ascii="宋体" w:hAnsi="宋体" w:cs="宋体"/>
          <w:color w:val="auto"/>
          <w:kern w:val="0"/>
          <w:szCs w:val="21"/>
          <w:highlight w:val="none"/>
        </w:rPr>
        <w:t>内，向你单位支付累计不超过上述担保金额的任何数额的款项，无须</w:t>
      </w:r>
      <w:r>
        <w:rPr>
          <w:rFonts w:hint="eastAsia" w:ascii="宋体" w:hAnsi="宋体" w:cs="宋体"/>
          <w:snapToGrid w:val="0"/>
          <w:color w:val="auto"/>
          <w:kern w:val="0"/>
          <w:szCs w:val="21"/>
          <w:highlight w:val="none"/>
        </w:rPr>
        <w:t>你单位</w:t>
      </w:r>
      <w:r>
        <w:rPr>
          <w:rFonts w:hint="eastAsia" w:ascii="宋体" w:hAnsi="宋体" w:cs="宋体"/>
          <w:color w:val="auto"/>
          <w:kern w:val="0"/>
          <w:szCs w:val="21"/>
          <w:highlight w:val="none"/>
        </w:rPr>
        <w:t xml:space="preserve">出具证明或陈述理由。本保函项下的任何支付应为免税和净值。对于现有或将来的税收、关税、收费、费用扣减或预提税款，不论这些款项是何种性质和由谁征收，都不应从本保函项下的支付中扣除。                                </w:t>
      </w:r>
    </w:p>
    <w:p>
      <w:pPr>
        <w:widowControl/>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2．我行放弃你单位应先向供货商要求赔偿上述金额然后再向我行提出要求的权利。</w:t>
      </w:r>
    </w:p>
    <w:p>
      <w:pPr>
        <w:widowControl/>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我行进一步同意，在你单位和供货商之间的合同条件、合同项下的服务或合同发生变化、补充或修改，在不加重我行担保责任的情况下，我行承担本保函的责任也不改变。有关上述变化、补充和修改也无须通知我行。</w:t>
      </w:r>
    </w:p>
    <w:p>
      <w:pPr>
        <w:widowControl/>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4．我行的保证期间为：</w:t>
      </w:r>
      <w:r>
        <w:rPr>
          <w:rFonts w:hint="eastAsia" w:ascii="宋体" w:hAnsi="宋体" w:cs="宋体"/>
          <w:snapToGrid w:val="0"/>
          <w:color w:val="auto"/>
          <w:spacing w:val="-4"/>
          <w:kern w:val="0"/>
          <w:szCs w:val="21"/>
          <w:highlight w:val="none"/>
        </w:rPr>
        <w:t>自本保函签署之日起至</w:t>
      </w:r>
      <w:r>
        <w:rPr>
          <w:rFonts w:hint="eastAsia" w:ascii="宋体" w:hAnsi="宋体" w:cs="宋体"/>
          <w:snapToGrid w:val="0"/>
          <w:color w:val="auto"/>
          <w:kern w:val="0"/>
          <w:szCs w:val="21"/>
          <w:highlight w:val="none"/>
          <w:u w:val="single"/>
        </w:rPr>
        <w:t>合同项目終验收合格之日后满六个月止</w:t>
      </w:r>
      <w:r>
        <w:rPr>
          <w:rFonts w:hint="eastAsia" w:ascii="宋体" w:hAnsi="宋体" w:cs="宋体"/>
          <w:snapToGrid w:val="0"/>
          <w:color w:val="auto"/>
          <w:spacing w:val="-4"/>
          <w:kern w:val="0"/>
          <w:szCs w:val="21"/>
          <w:highlight w:val="none"/>
        </w:rPr>
        <w:t>。但最迟不超过</w:t>
      </w:r>
      <w:r>
        <w:rPr>
          <w:rFonts w:hint="eastAsia" w:ascii="宋体" w:hAnsi="宋体" w:cs="宋体"/>
          <w:snapToGrid w:val="0"/>
          <w:color w:val="auto"/>
          <w:kern w:val="0"/>
          <w:szCs w:val="21"/>
          <w:highlight w:val="none"/>
        </w:rPr>
        <w:t>年月日。</w:t>
      </w:r>
    </w:p>
    <w:p>
      <w:pPr>
        <w:widowControl/>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w:t>
      </w:r>
      <w:r>
        <w:rPr>
          <w:rFonts w:hint="eastAsia" w:ascii="宋体" w:hAnsi="宋体" w:cs="宋体"/>
          <w:color w:val="auto"/>
          <w:kern w:val="0"/>
          <w:szCs w:val="21"/>
          <w:highlight w:val="none"/>
        </w:rPr>
        <w:t>本保函经</w:t>
      </w:r>
      <w:r>
        <w:rPr>
          <w:rFonts w:hint="eastAsia" w:ascii="宋体" w:hAnsi="宋体" w:cs="宋体"/>
          <w:snapToGrid w:val="0"/>
          <w:color w:val="auto"/>
          <w:kern w:val="0"/>
          <w:szCs w:val="21"/>
          <w:highlight w:val="none"/>
        </w:rPr>
        <w:t>咨询人</w:t>
      </w:r>
      <w:r>
        <w:rPr>
          <w:rFonts w:hint="eastAsia" w:ascii="宋体" w:hAnsi="宋体" w:cs="宋体"/>
          <w:color w:val="auto"/>
          <w:kern w:val="0"/>
          <w:szCs w:val="21"/>
          <w:highlight w:val="none"/>
        </w:rPr>
        <w:t>申请且经我行审核后可以续展。</w:t>
      </w:r>
    </w:p>
    <w:p>
      <w:pPr>
        <w:widowControl/>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本保函自我行负责人（或委托代理人）签字并加盖公章之日起生效。</w:t>
      </w:r>
    </w:p>
    <w:p>
      <w:pPr>
        <w:widowControl/>
        <w:adjustRightInd w:val="0"/>
        <w:snapToGrid w:val="0"/>
        <w:spacing w:line="360" w:lineRule="auto"/>
        <w:ind w:firstLine="3623" w:firstLineChars="1725"/>
        <w:jc w:val="left"/>
        <w:rPr>
          <w:rFonts w:ascii="宋体" w:hAnsi="宋体" w:cs="宋体"/>
          <w:snapToGrid w:val="0"/>
          <w:color w:val="auto"/>
          <w:kern w:val="0"/>
          <w:szCs w:val="20"/>
          <w:highlight w:val="none"/>
        </w:rPr>
      </w:pPr>
    </w:p>
    <w:p>
      <w:pPr>
        <w:widowControl/>
        <w:adjustRightInd w:val="0"/>
        <w:snapToGrid w:val="0"/>
        <w:spacing w:line="360" w:lineRule="auto"/>
        <w:ind w:firstLine="3623" w:firstLineChars="1725"/>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银行名称：（盖章）</w:t>
      </w:r>
    </w:p>
    <w:p>
      <w:pPr>
        <w:widowControl/>
        <w:adjustRightInd w:val="0"/>
        <w:snapToGrid w:val="0"/>
        <w:spacing w:line="360" w:lineRule="auto"/>
        <w:ind w:firstLine="3623" w:firstLineChars="1725"/>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银行负责人（或委托代理人）：</w:t>
      </w:r>
    </w:p>
    <w:p>
      <w:pPr>
        <w:widowControl/>
        <w:adjustRightInd w:val="0"/>
        <w:snapToGrid w:val="0"/>
        <w:spacing w:line="360" w:lineRule="auto"/>
        <w:ind w:firstLine="3623" w:firstLineChars="1725"/>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地址：</w:t>
      </w:r>
    </w:p>
    <w:p>
      <w:pPr>
        <w:widowControl/>
        <w:adjustRightInd w:val="0"/>
        <w:snapToGrid w:val="0"/>
        <w:spacing w:line="360" w:lineRule="auto"/>
        <w:ind w:firstLine="3623" w:firstLineChars="1725"/>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p>
      <w:pPr>
        <w:widowControl/>
        <w:adjustRightInd w:val="0"/>
        <w:snapToGrid w:val="0"/>
        <w:spacing w:line="360" w:lineRule="auto"/>
        <w:ind w:firstLine="3623" w:firstLineChars="1725"/>
        <w:jc w:val="left"/>
        <w:rPr>
          <w:rFonts w:ascii="宋体" w:hAnsi="宋体" w:cs="宋体"/>
          <w:b/>
          <w:snapToGrid w:val="0"/>
          <w:color w:val="auto"/>
          <w:kern w:val="0"/>
          <w:szCs w:val="21"/>
          <w:highlight w:val="none"/>
        </w:rPr>
      </w:pPr>
      <w:r>
        <w:rPr>
          <w:rFonts w:hint="eastAsia" w:ascii="宋体" w:hAnsi="宋体" w:cs="宋体"/>
          <w:snapToGrid w:val="0"/>
          <w:color w:val="auto"/>
          <w:kern w:val="0"/>
          <w:szCs w:val="21"/>
          <w:highlight w:val="none"/>
        </w:rPr>
        <w:t>联系电话：</w:t>
      </w:r>
    </w:p>
    <w:p>
      <w:pPr>
        <w:widowControl/>
        <w:adjustRightInd w:val="0"/>
        <w:snapToGrid w:val="0"/>
        <w:spacing w:line="360" w:lineRule="auto"/>
        <w:ind w:firstLine="3623" w:firstLineChars="1725"/>
        <w:jc w:val="left"/>
        <w:rPr>
          <w:rFonts w:ascii="宋体" w:hAnsi="宋体" w:cs="宋体"/>
          <w:bCs/>
          <w:color w:val="auto"/>
          <w:kern w:val="0"/>
          <w:szCs w:val="20"/>
          <w:highlight w:val="none"/>
        </w:rPr>
      </w:pPr>
      <w:r>
        <w:rPr>
          <w:rFonts w:hint="eastAsia" w:ascii="宋体" w:hAnsi="宋体" w:cs="宋体"/>
          <w:snapToGrid w:val="0"/>
          <w:color w:val="auto"/>
          <w:kern w:val="0"/>
          <w:szCs w:val="21"/>
          <w:highlight w:val="none"/>
        </w:rPr>
        <w:t>日期：    年   月   日</w:t>
      </w:r>
    </w:p>
    <w:p>
      <w:pPr>
        <w:widowControl/>
        <w:overflowPunct w:val="0"/>
        <w:autoSpaceDE w:val="0"/>
        <w:autoSpaceDN w:val="0"/>
        <w:adjustRightInd w:val="0"/>
        <w:spacing w:before="60" w:after="60" w:line="240" w:lineRule="auto"/>
        <w:ind w:firstLine="0" w:firstLineChars="0"/>
        <w:jc w:val="left"/>
        <w:textAlignment w:val="baseline"/>
        <w:rPr>
          <w:rFonts w:ascii="宋体" w:hAnsi="宋体" w:cs="宋体"/>
          <w:color w:val="auto"/>
          <w:kern w:val="0"/>
          <w:sz w:val="24"/>
          <w:szCs w:val="20"/>
          <w:highlight w:val="none"/>
        </w:rPr>
      </w:pPr>
      <w:r>
        <w:rPr>
          <w:rFonts w:hint="eastAsia" w:ascii="宋体" w:hAnsi="宋体" w:cs="宋体"/>
          <w:color w:val="auto"/>
          <w:kern w:val="0"/>
          <w:sz w:val="24"/>
          <w:szCs w:val="20"/>
          <w:highlight w:val="none"/>
        </w:rPr>
        <w:br w:type="page"/>
      </w:r>
      <w:r>
        <w:rPr>
          <w:rFonts w:hint="eastAsia" w:ascii="宋体" w:hAnsi="宋体" w:cs="宋体"/>
          <w:color w:val="auto"/>
          <w:kern w:val="0"/>
          <w:sz w:val="24"/>
          <w:szCs w:val="20"/>
          <w:highlight w:val="none"/>
        </w:rPr>
        <w:t>附件3-2:</w:t>
      </w:r>
    </w:p>
    <w:p>
      <w:pPr>
        <w:widowControl/>
        <w:spacing w:line="240" w:lineRule="auto"/>
        <w:ind w:firstLine="0" w:firstLineChars="0"/>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履约保证书</w:t>
      </w:r>
    </w:p>
    <w:p>
      <w:pPr>
        <w:widowControl/>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广州柴油机厂股份有限公司：</w:t>
      </w:r>
    </w:p>
    <w:p>
      <w:pPr>
        <w:widowControl/>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若我司为贵司项目供货商，我司郑重承诺：</w:t>
      </w:r>
    </w:p>
    <w:p>
      <w:pPr>
        <w:widowControl/>
        <w:numPr>
          <w:ilvl w:val="0"/>
          <w:numId w:val="4"/>
        </w:numPr>
        <w:spacing w:line="360" w:lineRule="auto"/>
        <w:ind w:firstLine="42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保证严格遵守我国相关法律制度，维护贵司合法权益。</w:t>
      </w:r>
    </w:p>
    <w:p>
      <w:pPr>
        <w:widowControl/>
        <w:numPr>
          <w:ilvl w:val="0"/>
          <w:numId w:val="4"/>
        </w:numPr>
        <w:spacing w:line="360" w:lineRule="auto"/>
        <w:ind w:firstLine="42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我司承诺无条件接受《购置合同》约定的所有条款。</w:t>
      </w:r>
    </w:p>
    <w:p>
      <w:pPr>
        <w:widowControl/>
        <w:numPr>
          <w:ilvl w:val="0"/>
          <w:numId w:val="4"/>
        </w:numPr>
        <w:spacing w:line="360" w:lineRule="auto"/>
        <w:ind w:firstLine="42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严格合同约定及法律要求，勤勉务实、认真履行项目管理职责。</w:t>
      </w:r>
    </w:p>
    <w:p>
      <w:pPr>
        <w:widowControl/>
        <w:numPr>
          <w:ilvl w:val="0"/>
          <w:numId w:val="4"/>
        </w:numPr>
        <w:spacing w:line="360" w:lineRule="auto"/>
        <w:ind w:firstLine="42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若我司存在违反《购置合同》约定的行为，我司同意依约向贵司支付相应违约金、赔偿金、罚金，或由贵司直接从上述合同费用中扣减相应违约金、赔偿金、罚金，合同费用不足抵扣的，由我司以自有资金支付。</w:t>
      </w:r>
    </w:p>
    <w:p>
      <w:pPr>
        <w:widowControl/>
        <w:numPr>
          <w:ilvl w:val="0"/>
          <w:numId w:val="4"/>
        </w:numPr>
        <w:spacing w:line="360" w:lineRule="auto"/>
        <w:ind w:firstLine="42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如在保函最长有效期届满时合同约定项目未完成双方签订设备終验收报告的，我司将在保函最长有效期届满三天前按原保函格式提交新的保函，否则，贵公司有权暂停支付余下的合同价款，直至我司提交新的保函或双方签订项目終验收报告。 </w:t>
      </w:r>
    </w:p>
    <w:p>
      <w:pPr>
        <w:spacing w:line="360" w:lineRule="auto"/>
        <w:ind w:left="420" w:firstLine="0" w:firstLineChars="0"/>
        <w:jc w:val="left"/>
        <w:rPr>
          <w:rFonts w:ascii="宋体" w:hAnsi="宋体" w:cs="宋体"/>
          <w:color w:val="auto"/>
          <w:kern w:val="0"/>
          <w:szCs w:val="21"/>
          <w:highlight w:val="none"/>
        </w:rPr>
      </w:pPr>
      <w:r>
        <w:rPr>
          <w:rFonts w:hint="eastAsia" w:ascii="宋体" w:hAnsi="宋体" w:cs="宋体"/>
          <w:snapToGrid w:val="0"/>
          <w:color w:val="auto"/>
          <w:kern w:val="0"/>
          <w:szCs w:val="21"/>
          <w:highlight w:val="none"/>
          <w:lang w:val="zh-CN"/>
        </w:rPr>
        <w:t>特此承诺。</w:t>
      </w:r>
    </w:p>
    <w:p>
      <w:pPr>
        <w:widowControl/>
        <w:spacing w:after="120" w:line="380" w:lineRule="exact"/>
        <w:ind w:left="420" w:leftChars="200" w:firstLine="3295" w:firstLineChars="1569"/>
        <w:jc w:val="left"/>
        <w:rPr>
          <w:rFonts w:ascii="宋体" w:hAnsi="宋体" w:cs="宋体"/>
          <w:bCs/>
          <w:color w:val="auto"/>
          <w:kern w:val="0"/>
          <w:szCs w:val="21"/>
          <w:highlight w:val="none"/>
        </w:rPr>
      </w:pPr>
    </w:p>
    <w:p>
      <w:pPr>
        <w:widowControl/>
        <w:wordWrap w:val="0"/>
        <w:topLinePunct w:val="1"/>
        <w:spacing w:line="360" w:lineRule="auto"/>
        <w:ind w:firstLine="0" w:firstLineChars="0"/>
        <w:rPr>
          <w:rFonts w:ascii="宋体" w:hAnsi="宋体" w:cs="宋体"/>
          <w:bCs/>
          <w:color w:val="auto"/>
          <w:szCs w:val="21"/>
          <w:highlight w:val="none"/>
        </w:rPr>
      </w:pPr>
      <w:r>
        <w:rPr>
          <w:rFonts w:hint="eastAsia" w:ascii="宋体" w:hAnsi="宋体" w:cs="宋体"/>
          <w:bCs/>
          <w:color w:val="auto"/>
          <w:szCs w:val="21"/>
          <w:highlight w:val="none"/>
        </w:rPr>
        <w:t>承诺单位：（公章）</w:t>
      </w:r>
    </w:p>
    <w:p>
      <w:pPr>
        <w:widowControl/>
        <w:wordWrap w:val="0"/>
        <w:topLinePunct w:val="1"/>
        <w:spacing w:line="360" w:lineRule="auto"/>
        <w:ind w:firstLine="0" w:firstLineChars="0"/>
        <w:rPr>
          <w:rFonts w:ascii="宋体" w:hAnsi="宋体" w:cs="宋体"/>
          <w:bCs/>
          <w:color w:val="auto"/>
          <w:szCs w:val="21"/>
          <w:highlight w:val="none"/>
        </w:rPr>
      </w:pPr>
      <w:r>
        <w:rPr>
          <w:rFonts w:hint="eastAsia" w:ascii="宋体" w:hAnsi="宋体" w:cs="宋体"/>
          <w:bCs/>
          <w:color w:val="auto"/>
          <w:szCs w:val="21"/>
          <w:highlight w:val="none"/>
        </w:rPr>
        <w:t>法人代表：（签名）</w:t>
      </w:r>
    </w:p>
    <w:p>
      <w:pPr>
        <w:widowControl/>
        <w:wordWrap w:val="0"/>
        <w:topLinePunct w:val="1"/>
        <w:spacing w:line="360" w:lineRule="auto"/>
        <w:ind w:firstLine="0" w:firstLineChars="0"/>
        <w:rPr>
          <w:rFonts w:ascii="宋体" w:hAnsi="宋体" w:cs="宋体"/>
          <w:bCs/>
          <w:color w:val="auto"/>
          <w:szCs w:val="21"/>
          <w:highlight w:val="none"/>
        </w:rPr>
      </w:pPr>
      <w:r>
        <w:rPr>
          <w:rFonts w:hint="eastAsia" w:ascii="宋体" w:hAnsi="宋体" w:cs="宋体"/>
          <w:bCs/>
          <w:color w:val="auto"/>
          <w:szCs w:val="21"/>
          <w:highlight w:val="none"/>
        </w:rPr>
        <w:t>日期：    年  月  日</w:t>
      </w: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hint="eastAsia" w:ascii="宋体" w:hAnsi="宋体" w:cs="宋体"/>
          <w:b/>
          <w:bCs/>
          <w:color w:val="auto"/>
          <w:spacing w:val="20"/>
          <w:sz w:val="24"/>
          <w:szCs w:val="24"/>
          <w:highlight w:val="none"/>
        </w:rPr>
      </w:pPr>
    </w:p>
    <w:p>
      <w:pPr>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附件:4</w:t>
      </w:r>
      <w:r>
        <w:rPr>
          <w:rFonts w:hint="eastAsia" w:ascii="宋体" w:hAnsi="宋体" w:cs="宋体"/>
          <w:b/>
          <w:bCs/>
          <w:color w:val="auto"/>
          <w:spacing w:val="20"/>
          <w:sz w:val="24"/>
          <w:szCs w:val="24"/>
          <w:highlight w:val="none"/>
        </w:rPr>
        <w:tab/>
      </w:r>
    </w:p>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b/>
          <w:bCs/>
          <w:color w:val="auto"/>
          <w:spacing w:val="20"/>
          <w:sz w:val="44"/>
          <w:szCs w:val="44"/>
          <w:highlight w:val="none"/>
        </w:rPr>
        <w:t>投 标 书</w:t>
      </w:r>
    </w:p>
    <w:p>
      <w:pPr>
        <w:tabs>
          <w:tab w:val="left" w:pos="5551"/>
        </w:tabs>
        <w:ind w:right="1004" w:firstLine="6020" w:firstLineChars="2400"/>
        <w:rPr>
          <w:rFonts w:ascii="宋体" w:hAnsi="宋体" w:cs="宋体"/>
          <w:b/>
          <w:bCs/>
          <w:color w:val="auto"/>
          <w:spacing w:val="20"/>
          <w:szCs w:val="21"/>
          <w:highlight w:val="none"/>
        </w:rPr>
      </w:pPr>
      <w:bookmarkStart w:id="556" w:name="_Hlk113119284"/>
      <w:r>
        <w:rPr>
          <w:rFonts w:ascii="宋体" w:hAnsi="宋体" w:cs="宋体"/>
          <w:b/>
          <w:bCs/>
          <w:color w:val="auto"/>
          <w:spacing w:val="20"/>
          <w:szCs w:val="21"/>
          <w:highlight w:val="none"/>
        </w:rPr>
        <w:t>GC-DGSBZB07</w:t>
      </w:r>
      <w:r>
        <w:rPr>
          <w:rFonts w:hint="eastAsia" w:ascii="宋体" w:hAnsi="宋体" w:cs="宋体"/>
          <w:b/>
          <w:bCs/>
          <w:color w:val="auto"/>
          <w:spacing w:val="20"/>
          <w:szCs w:val="21"/>
          <w:highlight w:val="none"/>
        </w:rPr>
        <w:t>B</w:t>
      </w:r>
      <w:r>
        <w:rPr>
          <w:rFonts w:ascii="宋体" w:hAnsi="宋体" w:cs="宋体"/>
          <w:b/>
          <w:bCs/>
          <w:color w:val="auto"/>
          <w:spacing w:val="20"/>
          <w:szCs w:val="21"/>
          <w:highlight w:val="none"/>
        </w:rPr>
        <w:t>-2024</w:t>
      </w:r>
    </w:p>
    <w:bookmarkEnd w:id="556"/>
    <w:p>
      <w:pPr>
        <w:numPr>
          <w:ilvl w:val="0"/>
          <w:numId w:val="5"/>
        </w:num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项目投标报价（将本项目投标报价等相关内容填写至表1）</w:t>
      </w:r>
    </w:p>
    <w:p>
      <w:pPr>
        <w:tabs>
          <w:tab w:val="left" w:pos="5551"/>
        </w:tabs>
        <w:ind w:firstLine="560"/>
        <w:jc w:val="center"/>
        <w:rPr>
          <w:color w:val="auto"/>
          <w:highlight w:val="none"/>
        </w:rPr>
      </w:pPr>
      <w:r>
        <w:rPr>
          <w:rFonts w:hint="eastAsia" w:ascii="宋体" w:hAnsi="宋体" w:cs="宋体"/>
          <w:color w:val="auto"/>
          <w:spacing w:val="20"/>
          <w:sz w:val="24"/>
          <w:szCs w:val="24"/>
          <w:highlight w:val="none"/>
        </w:rPr>
        <w:t>表1 两套低速机辅机系统工艺设备采购和安装调试项目投标报价</w:t>
      </w:r>
    </w:p>
    <w:tbl>
      <w:tblPr>
        <w:tblW w:w="10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53"/>
        <w:gridCol w:w="1703"/>
        <w:gridCol w:w="1491"/>
        <w:gridCol w:w="1677"/>
        <w:gridCol w:w="67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bookmarkStart w:id="557" w:name="_Hlk182852410"/>
            <w:r>
              <w:rPr>
                <w:rFonts w:hint="eastAsia" w:ascii="宋体" w:hAnsi="宋体" w:cs="宋体"/>
                <w:b/>
                <w:bCs/>
                <w:color w:val="auto"/>
                <w:spacing w:val="20"/>
                <w:sz w:val="24"/>
                <w:szCs w:val="24"/>
                <w:highlight w:val="none"/>
              </w:rPr>
              <w:t>项目</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数量（套）</w:t>
            </w:r>
          </w:p>
        </w:tc>
        <w:tc>
          <w:tcPr>
            <w:tcW w:w="2356"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2162"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燃油系统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color w:val="auto"/>
                <w:szCs w:val="21"/>
                <w:highlight w:val="none"/>
              </w:rPr>
            </w:pPr>
            <w:r>
              <w:rPr>
                <w:rFonts w:hint="eastAsia"/>
                <w:color w:val="auto"/>
                <w:szCs w:val="21"/>
                <w:highlight w:val="none"/>
              </w:rPr>
              <w:t>滑油系统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ascii="宋体" w:hAnsi="宋体" w:cs="宋体"/>
                <w:b/>
                <w:bCs/>
                <w:color w:val="auto"/>
                <w:spacing w:val="20"/>
                <w:sz w:val="24"/>
                <w:szCs w:val="24"/>
                <w:highlight w:val="none"/>
              </w:rPr>
              <w:t>2</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color w:val="auto"/>
                <w:szCs w:val="21"/>
                <w:highlight w:val="none"/>
              </w:rPr>
            </w:pPr>
            <w:r>
              <w:rPr>
                <w:rFonts w:hint="eastAsia"/>
                <w:color w:val="auto"/>
                <w:szCs w:val="21"/>
                <w:highlight w:val="none"/>
              </w:rPr>
              <w:t>缸套润滑油系统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电气系统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给排水系统（柴油机冷却水系统、测功器冷却水系统）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center"/>
              <w:rPr>
                <w:rFonts w:ascii="宋体" w:hAnsi="宋体" w:cs="宋体"/>
                <w:b/>
                <w:bCs/>
                <w:color w:val="auto"/>
                <w:spacing w:val="20"/>
                <w:sz w:val="24"/>
                <w:szCs w:val="24"/>
                <w:highlight w:val="none"/>
              </w:rPr>
            </w:pPr>
          </w:p>
        </w:tc>
        <w:tc>
          <w:tcPr>
            <w:tcW w:w="2162" w:type="dxa"/>
            <w:vAlign w:val="center"/>
          </w:tcPr>
          <w:p>
            <w:pPr>
              <w:tabs>
                <w:tab w:val="left" w:pos="5551"/>
              </w:tabs>
              <w:ind w:firstLine="0" w:firstLineChars="0"/>
              <w:jc w:val="center"/>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color w:val="auto"/>
                <w:szCs w:val="21"/>
                <w:highlight w:val="none"/>
              </w:rPr>
            </w:pPr>
            <w:r>
              <w:rPr>
                <w:rFonts w:hint="eastAsia"/>
                <w:color w:val="auto"/>
                <w:szCs w:val="21"/>
                <w:highlight w:val="none"/>
              </w:rPr>
              <w:t>排气系统</w:t>
            </w:r>
          </w:p>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（含SCR尾气处理系统）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控制系统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低速机安装平台</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4</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低速机线条座安装调平</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便携式油液颗粒度分析仪</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配套土建装修工程</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color w:val="auto"/>
                <w:szCs w:val="21"/>
                <w:highlight w:val="none"/>
              </w:rPr>
            </w:pPr>
            <w:r>
              <w:rPr>
                <w:rFonts w:hint="eastAsia"/>
                <w:color w:val="auto"/>
                <w:szCs w:val="21"/>
                <w:highlight w:val="none"/>
              </w:rPr>
              <w:t>系统调试费</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3168"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841"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3168"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841"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353"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3194"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677"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841"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p>
        </w:tc>
      </w:tr>
      <w:bookmarkEnd w:id="557"/>
    </w:tbl>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42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1、以上报价包含两套低速机辅机系统的总价，包括所有设备、辅具、电缆、管道</w:t>
      </w:r>
    </w:p>
    <w:p>
      <w:pPr>
        <w:tabs>
          <w:tab w:val="left" w:pos="5551"/>
        </w:tabs>
        <w:spacing w:line="240" w:lineRule="auto"/>
        <w:ind w:left="432"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辅件等采购、预验收、运输费、装卸、雇员、安装、调试等费用，包括配套土建装修工程、低速机辅机系统整体联调、验收、使用培训辅导、质保期售后服务、配合管理费、合同实施过程中应预见和不可预见的总费用等。所有价格均应以人民币报价，金额单位为元。</w:t>
      </w:r>
    </w:p>
    <w:p>
      <w:pPr>
        <w:tabs>
          <w:tab w:val="left" w:pos="5551"/>
        </w:tabs>
        <w:spacing w:line="240" w:lineRule="auto"/>
        <w:ind w:left="432" w:firstLine="0" w:firstLineChars="0"/>
        <w:rPr>
          <w:rFonts w:ascii="宋体" w:hAnsi="宋体" w:cs="宋体"/>
          <w:color w:val="auto"/>
          <w:spacing w:val="20"/>
          <w:szCs w:val="21"/>
          <w:highlight w:val="none"/>
        </w:rPr>
      </w:pPr>
      <w:r>
        <w:rPr>
          <w:rFonts w:hint="eastAsia" w:ascii="华文楷体" w:hAnsi="华文楷体" w:eastAsia="华文楷体" w:cs="华文楷体"/>
          <w:color w:val="auto"/>
          <w:spacing w:val="20"/>
          <w:highlight w:val="none"/>
        </w:rPr>
        <w:t>2、</w:t>
      </w:r>
      <w:r>
        <w:rPr>
          <w:rFonts w:hint="eastAsia" w:ascii="宋体" w:hAnsi="宋体" w:cs="宋体"/>
          <w:color w:val="auto"/>
          <w:spacing w:val="20"/>
          <w:highlight w:val="none"/>
        </w:rPr>
        <w:t>表1投标报价中的项目，需要以招标方提供的细分项目的表格为依据明细报价，如有修改需要说明修改的合理性。将相关信息分别填写至表2中。</w:t>
      </w:r>
    </w:p>
    <w:p>
      <w:pPr>
        <w:tabs>
          <w:tab w:val="left" w:pos="5551"/>
        </w:tabs>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2.1、将本项目的细分项目信息填写至表2中</w:t>
      </w:r>
    </w:p>
    <w:p>
      <w:pPr>
        <w:spacing w:line="360" w:lineRule="auto"/>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表2 两套低速机辅机系统工艺设备采购和安装调试项目细分项目信息</w:t>
      </w:r>
    </w:p>
    <w:tbl>
      <w:tblPr>
        <w:tblW w:w="9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9"/>
        <w:gridCol w:w="644"/>
        <w:gridCol w:w="393"/>
        <w:gridCol w:w="560"/>
        <w:gridCol w:w="838"/>
        <w:gridCol w:w="583"/>
        <w:gridCol w:w="476"/>
        <w:gridCol w:w="936"/>
        <w:gridCol w:w="952"/>
        <w:gridCol w:w="1033"/>
        <w:gridCol w:w="1200"/>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9"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项目名称及说明</w:t>
            </w:r>
          </w:p>
        </w:tc>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型号</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规格</w:t>
            </w:r>
          </w:p>
        </w:tc>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投标单位计划选用的厂家（品牌）</w:t>
            </w:r>
          </w:p>
        </w:tc>
        <w:tc>
          <w:tcPr>
            <w:tcW w:w="58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单位</w:t>
            </w:r>
          </w:p>
        </w:tc>
        <w:tc>
          <w:tcPr>
            <w:tcW w:w="476"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工程量</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不含税全费用综合单价</w:t>
            </w:r>
            <w:r>
              <w:rPr>
                <w:rFonts w:hint="eastAsia" w:ascii="宋体" w:hAnsi="宋体" w:cs="宋体"/>
                <w:color w:val="auto"/>
                <w:kern w:val="0"/>
                <w:sz w:val="18"/>
                <w:szCs w:val="18"/>
                <w:highlight w:val="none"/>
              </w:rPr>
              <w:br/>
            </w:r>
            <w:r>
              <w:rPr>
                <w:rFonts w:hint="eastAsia" w:ascii="宋体" w:hAnsi="宋体" w:cs="宋体"/>
                <w:color w:val="auto"/>
                <w:kern w:val="0"/>
                <w:sz w:val="18"/>
                <w:szCs w:val="18"/>
                <w:highlight w:val="none"/>
              </w:rPr>
              <w:t>(元)</w:t>
            </w:r>
          </w:p>
        </w:tc>
        <w:tc>
          <w:tcPr>
            <w:tcW w:w="95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不含税全费用合价(元)</w:t>
            </w:r>
          </w:p>
        </w:tc>
        <w:tc>
          <w:tcPr>
            <w:tcW w:w="3714" w:type="dxa"/>
            <w:gridSpan w:val="3"/>
            <w:tcBorders>
              <w:top w:val="single" w:color="000000" w:sz="4" w:space="0"/>
              <w:left w:val="single" w:color="000000" w:sz="4" w:space="0"/>
              <w:bottom w:val="single" w:color="000000" w:sz="4" w:space="0"/>
              <w:right w:val="single" w:color="auto" w:sz="4" w:space="0"/>
            </w:tcBorders>
            <w:vAlign w:val="center"/>
          </w:tcPr>
          <w:p>
            <w:pPr>
              <w:widowControl/>
              <w:ind w:firstLine="36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不含税综合单价分析表（单位：元）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419"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设备费</w:t>
            </w:r>
            <w:r>
              <w:rPr>
                <w:rFonts w:hint="eastAsia" w:ascii="宋体" w:hAnsi="宋体" w:cs="宋体"/>
                <w:color w:val="auto"/>
                <w:kern w:val="0"/>
                <w:sz w:val="18"/>
                <w:szCs w:val="18"/>
                <w:highlight w:val="none"/>
              </w:rPr>
              <w:br/>
            </w:r>
            <w:r>
              <w:rPr>
                <w:rFonts w:hint="eastAsia" w:ascii="宋体" w:hAnsi="宋体" w:cs="宋体"/>
                <w:color w:val="auto"/>
                <w:kern w:val="0"/>
                <w:sz w:val="18"/>
                <w:szCs w:val="18"/>
                <w:highlight w:val="none"/>
              </w:rPr>
              <w:t>（含主材费、辅材费等）</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安装费用（含人工费、措施费、机械费等）</w:t>
            </w:r>
          </w:p>
        </w:tc>
        <w:tc>
          <w:tcPr>
            <w:tcW w:w="148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其他费用</w:t>
            </w:r>
            <w:r>
              <w:rPr>
                <w:rFonts w:hint="eastAsia" w:ascii="宋体" w:hAnsi="宋体" w:cs="宋体"/>
                <w:color w:val="auto"/>
                <w:kern w:val="0"/>
                <w:sz w:val="18"/>
                <w:szCs w:val="18"/>
                <w:highlight w:val="none"/>
              </w:rPr>
              <w:br/>
            </w:r>
            <w:r>
              <w:rPr>
                <w:rFonts w:hint="eastAsia" w:ascii="宋体" w:hAnsi="宋体" w:cs="宋体"/>
                <w:color w:val="auto"/>
                <w:kern w:val="0"/>
                <w:sz w:val="18"/>
                <w:szCs w:val="18"/>
                <w:highlight w:val="none"/>
              </w:rPr>
              <w:t>（含管理费、差旅费、利润、规费等）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419"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481"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9"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A2=A+B+C</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A3=A1*A2</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B</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r>
    </w:tbl>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备注：</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⑴本表需要详细罗列出两套低速机辅机系统工艺设备采购和安装调试项目所需的所有细分项目（含辅件材料）。</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⑵</w:t>
      </w:r>
      <w:r>
        <w:rPr>
          <w:rFonts w:hint="eastAsia" w:ascii="宋体" w:hAnsi="宋体" w:cs="宋体"/>
          <w:color w:val="auto"/>
          <w:spacing w:val="20"/>
          <w:highlight w:val="none"/>
        </w:rPr>
        <w:t>本表细分项目设备的</w:t>
      </w:r>
      <w:r>
        <w:rPr>
          <w:rFonts w:hint="eastAsia" w:ascii="宋体" w:hAnsi="宋体" w:cs="宋体"/>
          <w:b/>
          <w:bCs/>
          <w:color w:val="auto"/>
          <w:spacing w:val="20"/>
          <w:highlight w:val="none"/>
        </w:rPr>
        <w:t>生产厂家及品牌</w:t>
      </w:r>
      <w:r>
        <w:rPr>
          <w:rFonts w:hint="eastAsia" w:ascii="宋体" w:hAnsi="宋体" w:cs="宋体"/>
          <w:color w:val="auto"/>
          <w:spacing w:val="20"/>
          <w:highlight w:val="none"/>
        </w:rPr>
        <w:t>、型号、数量等须符合并满足本项目的招标要求，对于施工过程中因设备的</w:t>
      </w:r>
      <w:r>
        <w:rPr>
          <w:rFonts w:hint="eastAsia" w:ascii="宋体" w:hAnsi="宋体" w:cs="宋体"/>
          <w:b/>
          <w:bCs/>
          <w:color w:val="auto"/>
          <w:spacing w:val="20"/>
          <w:highlight w:val="none"/>
        </w:rPr>
        <w:t>生产厂家及品牌</w:t>
      </w:r>
      <w:r>
        <w:rPr>
          <w:rFonts w:hint="eastAsia" w:ascii="宋体" w:hAnsi="宋体" w:cs="宋体"/>
          <w:color w:val="auto"/>
          <w:spacing w:val="20"/>
          <w:highlight w:val="none"/>
        </w:rPr>
        <w:t>、型号、数量等罗列不全、不符合或不满足安装要求的，由投标人自己承担。</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⑶</w:t>
      </w:r>
      <w:r>
        <w:rPr>
          <w:rFonts w:hint="eastAsia" w:ascii="宋体" w:hAnsi="宋体" w:cs="宋体"/>
          <w:color w:val="auto"/>
          <w:spacing w:val="20"/>
          <w:highlight w:val="none"/>
        </w:rPr>
        <w:t>本表相关产品的合计金额，是表1中两套低速机辅机系统工艺设备采购和安装调试项目的合计金额，该合计金额须包含在表1投标报价的总价格中。所有价格均以人民币报价，金额单位为元。</w:t>
      </w:r>
    </w:p>
    <w:p>
      <w:pPr>
        <w:pStyle w:val="13"/>
        <w:spacing w:before="0" w:beforeAutospacing="0" w:after="0" w:line="360" w:lineRule="auto"/>
        <w:ind w:firstLine="0" w:firstLineChars="0"/>
        <w:jc w:val="both"/>
        <w:rPr>
          <w:color w:val="auto"/>
          <w:spacing w:val="20"/>
          <w:kern w:val="2"/>
          <w:sz w:val="21"/>
          <w:szCs w:val="22"/>
          <w:highlight w:val="none"/>
        </w:rPr>
      </w:pPr>
      <w:r>
        <w:rPr>
          <w:rFonts w:hint="eastAsia"/>
          <w:color w:val="auto"/>
          <w:spacing w:val="20"/>
          <w:highlight w:val="none"/>
        </w:rPr>
        <w:t>⑷</w:t>
      </w:r>
      <w:r>
        <w:rPr>
          <w:rFonts w:hint="eastAsia"/>
          <w:color w:val="auto"/>
          <w:spacing w:val="20"/>
          <w:kern w:val="2"/>
          <w:sz w:val="21"/>
          <w:szCs w:val="22"/>
          <w:highlight w:val="none"/>
        </w:rPr>
        <w:t>采用设备生产厂家与品牌价差如实结算和合同价最高限价原则，具体办法见《招标公告》四、项目最高限价和风险提示。</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⑸本表参照附件1《投标人项目报价清单明细表》格式提供即可。</w:t>
      </w:r>
    </w:p>
    <w:p>
      <w:pPr>
        <w:tabs>
          <w:tab w:val="left" w:pos="5551"/>
        </w:tabs>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二．项目主要技术指标</w:t>
      </w:r>
    </w:p>
    <w:p>
      <w:pPr>
        <w:tabs>
          <w:tab w:val="left" w:pos="5551"/>
        </w:tabs>
        <w:ind w:firstLine="0" w:firstLineChars="0"/>
        <w:jc w:val="center"/>
        <w:rPr>
          <w:rFonts w:ascii="宋体" w:hAnsi="宋体" w:cs="宋体"/>
          <w:b/>
          <w:bCs/>
          <w:color w:val="auto"/>
          <w:spacing w:val="20"/>
          <w:sz w:val="28"/>
          <w:szCs w:val="28"/>
          <w:highlight w:val="none"/>
        </w:rPr>
      </w:pPr>
      <w:r>
        <w:rPr>
          <w:rFonts w:hint="eastAsia" w:ascii="宋体" w:hAnsi="宋体" w:cs="宋体"/>
          <w:color w:val="auto"/>
          <w:spacing w:val="20"/>
          <w:highlight w:val="none"/>
        </w:rPr>
        <w:t>表3技术指标响应情况</w:t>
      </w:r>
    </w:p>
    <w:tbl>
      <w:tblPr>
        <w:tblW w:w="9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86"/>
        <w:gridCol w:w="1243"/>
        <w:gridCol w:w="4832"/>
        <w:gridCol w:w="691"/>
        <w:gridCol w:w="1089"/>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atLeast"/>
          <w:jc w:val="center"/>
        </w:trPr>
        <w:tc>
          <w:tcPr>
            <w:tcW w:w="686"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序号</w:t>
            </w:r>
          </w:p>
        </w:tc>
        <w:tc>
          <w:tcPr>
            <w:tcW w:w="1243"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名 称</w:t>
            </w:r>
          </w:p>
        </w:tc>
        <w:tc>
          <w:tcPr>
            <w:tcW w:w="4832"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ascii="Arial" w:hAnsi="Arial" w:cs="Arial"/>
                <w:color w:val="auto"/>
                <w:kern w:val="0"/>
                <w:sz w:val="18"/>
                <w:szCs w:val="18"/>
                <w:highlight w:val="none"/>
              </w:rPr>
              <w:t>＊</w:t>
            </w:r>
            <w:r>
              <w:rPr>
                <w:rFonts w:hint="eastAsia" w:ascii="宋体" w:hAnsi="宋体" w:cs="宋体"/>
                <w:b/>
                <w:bCs/>
                <w:color w:val="auto"/>
                <w:kern w:val="0"/>
                <w:sz w:val="18"/>
                <w:szCs w:val="18"/>
                <w:highlight w:val="none"/>
              </w:rPr>
              <w:t>组成及主要技术指标</w:t>
            </w:r>
          </w:p>
        </w:tc>
        <w:tc>
          <w:tcPr>
            <w:tcW w:w="691"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数量</w:t>
            </w:r>
          </w:p>
        </w:tc>
        <w:tc>
          <w:tcPr>
            <w:tcW w:w="1089"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响应情况</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ind w:firstLine="0" w:firstLineChars="0"/>
              <w:jc w:val="center"/>
              <w:textAlignment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燃油系统</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ascii="Arial" w:hAnsi="Arial" w:cs="Arial"/>
                <w:color w:val="auto"/>
                <w:kern w:val="0"/>
                <w:sz w:val="18"/>
                <w:szCs w:val="18"/>
                <w:highlight w:val="none"/>
              </w:rPr>
              <w:t>＊</w:t>
            </w:r>
            <w:r>
              <w:rPr>
                <w:rFonts w:hint="eastAsia" w:ascii="宋体" w:hAnsi="宋体" w:cs="宋体"/>
                <w:color w:val="auto"/>
                <w:kern w:val="0"/>
                <w:sz w:val="18"/>
                <w:szCs w:val="18"/>
                <w:highlight w:val="none"/>
              </w:rPr>
              <w:t>称重油箱、供油泵，考虑两级过滤和磁性过滤，收集回油；泄漏油单独收集；油箱带称重功能；燃油串油系统；</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润滑油系统</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40" w:lineRule="auto"/>
              <w:ind w:firstLine="0" w:firstLineChars="0"/>
              <w:jc w:val="left"/>
              <w:textAlignment w:val="center"/>
              <w:rPr>
                <w:rFonts w:ascii="宋体" w:hAnsi="宋体" w:cs="宋体"/>
                <w:color w:val="auto"/>
                <w:sz w:val="18"/>
                <w:szCs w:val="18"/>
                <w:highlight w:val="none"/>
              </w:rPr>
            </w:pPr>
            <w:r>
              <w:rPr>
                <w:rFonts w:ascii="Arial" w:hAnsi="Arial" w:cs="Arial"/>
                <w:color w:val="auto"/>
                <w:kern w:val="0"/>
                <w:sz w:val="18"/>
                <w:szCs w:val="18"/>
                <w:highlight w:val="none"/>
              </w:rPr>
              <w:t>＊</w:t>
            </w:r>
            <w:r>
              <w:rPr>
                <w:rFonts w:hint="eastAsia" w:ascii="宋体" w:hAnsi="宋体" w:cs="宋体"/>
                <w:color w:val="auto"/>
                <w:kern w:val="0"/>
                <w:sz w:val="18"/>
                <w:szCs w:val="18"/>
                <w:highlight w:val="none"/>
              </w:rPr>
              <w:t>主机润滑油箱容积满足润滑要求，总流量不低于900m³/h，设置多级过滤和自动反冲系统，含加热系统、冷却系统、分油机。两套系统可进行驳油循环。</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缸套润滑油系统</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40" w:lineRule="auto"/>
              <w:ind w:firstLine="0" w:firstLineChars="0"/>
              <w:jc w:val="left"/>
              <w:textAlignment w:val="center"/>
              <w:rPr>
                <w:rFonts w:ascii="宋体" w:hAnsi="宋体" w:cs="宋体"/>
                <w:color w:val="auto"/>
                <w:kern w:val="0"/>
                <w:sz w:val="18"/>
                <w:szCs w:val="18"/>
                <w:highlight w:val="none"/>
              </w:rPr>
            </w:pPr>
            <w:r>
              <w:rPr>
                <w:rFonts w:ascii="Arial" w:hAnsi="Arial" w:cs="Arial"/>
                <w:color w:val="auto"/>
                <w:kern w:val="0"/>
                <w:sz w:val="18"/>
                <w:szCs w:val="18"/>
                <w:highlight w:val="none"/>
              </w:rPr>
              <w:t>＊</w:t>
            </w:r>
            <w:r>
              <w:rPr>
                <w:rFonts w:hint="eastAsia" w:ascii="宋体" w:hAnsi="宋体" w:cs="宋体"/>
                <w:color w:val="auto"/>
                <w:kern w:val="0"/>
                <w:sz w:val="18"/>
                <w:szCs w:val="18"/>
                <w:highlight w:val="none"/>
              </w:rPr>
              <w:t>气缸油系统主要实现气缸油供油、储存及温度控制。 主要设备包括：气缸油储存箱、气缸油供油泵、加热装置、过滤器、高位气缸油油箱和流量计等。</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柴油机冷却水系统</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ascii="Arial" w:hAnsi="Arial" w:cs="Arial"/>
                <w:color w:val="auto"/>
                <w:kern w:val="0"/>
                <w:sz w:val="18"/>
                <w:szCs w:val="18"/>
                <w:highlight w:val="none"/>
              </w:rPr>
              <w:t>＊</w:t>
            </w:r>
            <w:r>
              <w:rPr>
                <w:rFonts w:hint="eastAsia" w:ascii="宋体" w:hAnsi="宋体" w:cs="宋体"/>
                <w:color w:val="auto"/>
                <w:kern w:val="0"/>
                <w:sz w:val="18"/>
                <w:szCs w:val="18"/>
                <w:highlight w:val="none"/>
              </w:rPr>
              <w:t>满足本期01~04台位系统总设计流量为Q=1500m</w:t>
            </w:r>
            <w:r>
              <w:rPr>
                <w:rFonts w:hint="eastAsia" w:ascii="宋体" w:hAnsi="宋体" w:cs="宋体"/>
                <w:color w:val="auto"/>
                <w:kern w:val="0"/>
                <w:sz w:val="18"/>
                <w:szCs w:val="18"/>
                <w:highlight w:val="none"/>
                <w:eastAsianLayout w:id="9" w:combine="1"/>
              </w:rPr>
              <w:t xml:space="preserve">3  </w:t>
            </w:r>
            <w:r>
              <w:rPr>
                <w:rFonts w:hint="eastAsia" w:ascii="宋体" w:hAnsi="宋体" w:cs="宋体"/>
                <w:color w:val="auto"/>
                <w:kern w:val="0"/>
                <w:sz w:val="18"/>
                <w:szCs w:val="18"/>
                <w:highlight w:val="none"/>
              </w:rPr>
              <w:t>/h，采用开式系统，变频水泵。</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测功器冷却水系统</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ascii="Arial" w:hAnsi="Arial" w:cs="Arial"/>
                <w:color w:val="auto"/>
                <w:kern w:val="0"/>
                <w:sz w:val="18"/>
                <w:szCs w:val="18"/>
                <w:highlight w:val="none"/>
              </w:rPr>
              <w:t>＊</w:t>
            </w:r>
            <w:r>
              <w:rPr>
                <w:rFonts w:hint="eastAsia" w:ascii="宋体" w:hAnsi="宋体" w:cs="宋体"/>
                <w:color w:val="auto"/>
                <w:kern w:val="0"/>
                <w:sz w:val="18"/>
                <w:szCs w:val="18"/>
                <w:highlight w:val="none"/>
              </w:rPr>
              <w:t>满足2台测功器运行要求，总设计流量为Q=1600m</w:t>
            </w:r>
            <w:r>
              <w:rPr>
                <w:rFonts w:hint="eastAsia" w:ascii="宋体" w:hAnsi="宋体" w:cs="宋体"/>
                <w:color w:val="auto"/>
                <w:kern w:val="0"/>
                <w:sz w:val="18"/>
                <w:szCs w:val="18"/>
                <w:highlight w:val="none"/>
                <w:eastAsianLayout w:id="10" w:combine="1"/>
              </w:rPr>
              <w:t xml:space="preserve">3  </w:t>
            </w:r>
            <w:r>
              <w:rPr>
                <w:rFonts w:hint="eastAsia" w:ascii="宋体" w:hAnsi="宋体" w:cs="宋体"/>
                <w:color w:val="auto"/>
                <w:kern w:val="0"/>
                <w:sz w:val="18"/>
                <w:szCs w:val="18"/>
                <w:highlight w:val="none"/>
              </w:rPr>
              <w:t>/h，采用式冷却塔</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排气系统</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ascii="Arial" w:hAnsi="Arial" w:cs="Arial"/>
                <w:color w:val="auto"/>
                <w:kern w:val="0"/>
                <w:sz w:val="18"/>
                <w:szCs w:val="18"/>
                <w:highlight w:val="none"/>
              </w:rPr>
              <w:t>＊</w:t>
            </w:r>
            <w:r>
              <w:rPr>
                <w:rFonts w:hint="eastAsia" w:ascii="宋体" w:hAnsi="宋体" w:cs="宋体"/>
                <w:color w:val="auto"/>
                <w:kern w:val="0"/>
                <w:sz w:val="18"/>
                <w:szCs w:val="18"/>
                <w:highlight w:val="none"/>
              </w:rPr>
              <w:t>用于尾气排放和处理，包括排气管道、膨胀节、阀门等，尾气通过处理后排放，包括SCR系统，尿素储存添加系统，燃油加注系统，加注单元、驳运系统、尿素储存舱等</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配套土建工程</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ascii="Arial" w:hAnsi="Arial" w:cs="Arial"/>
                <w:color w:val="auto"/>
                <w:kern w:val="0"/>
                <w:sz w:val="18"/>
                <w:szCs w:val="18"/>
                <w:highlight w:val="none"/>
              </w:rPr>
              <w:t>＊</w:t>
            </w:r>
            <w:r>
              <w:rPr>
                <w:rFonts w:hint="eastAsia" w:ascii="宋体" w:hAnsi="宋体" w:cs="宋体"/>
                <w:color w:val="auto"/>
                <w:kern w:val="0"/>
                <w:sz w:val="18"/>
                <w:szCs w:val="18"/>
                <w:highlight w:val="none"/>
              </w:rPr>
              <w:t>所有设备土建基础的浇筑（现有地基状况请投标人</w:t>
            </w:r>
            <w:r>
              <w:rPr>
                <w:rFonts w:hint="eastAsia" w:ascii="宋体" w:hAnsi="宋体" w:cs="宋体"/>
                <w:strike/>
                <w:color w:val="auto"/>
                <w:kern w:val="0"/>
                <w:sz w:val="18"/>
                <w:szCs w:val="18"/>
                <w:highlight w:val="none"/>
              </w:rPr>
              <w:t>须</w:t>
            </w:r>
            <w:r>
              <w:rPr>
                <w:rFonts w:hint="eastAsia" w:ascii="宋体" w:hAnsi="宋体" w:cs="宋体"/>
                <w:color w:val="auto"/>
                <w:kern w:val="0"/>
                <w:sz w:val="18"/>
                <w:szCs w:val="18"/>
                <w:highlight w:val="none"/>
              </w:rPr>
              <w:t>向招标人具体了解），墙体开孔、封堵；主控制室、卫生间、辅机控制室的装修。</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控制系统</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试验台位柴油机及测功器、公共系统数据（包含温度、压力、液位、流量、泵运行状态指示等信号，发动机、SCR 系统、测功器等设 备及系统通讯信号）实时监测、报警、记录及打印功能，可同时满足多个试验台位柴油机试验需求</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低压配电系统</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sz w:val="18"/>
                <w:szCs w:val="18"/>
                <w:highlight w:val="none"/>
              </w:rPr>
            </w:pPr>
            <w:r>
              <w:rPr>
                <w:rFonts w:ascii="Arial" w:hAnsi="Arial" w:cs="Arial"/>
                <w:color w:val="auto"/>
                <w:kern w:val="0"/>
                <w:sz w:val="18"/>
                <w:szCs w:val="18"/>
                <w:highlight w:val="none"/>
              </w:rPr>
              <w:t>＊</w:t>
            </w:r>
            <w:r>
              <w:rPr>
                <w:rFonts w:hint="eastAsia" w:ascii="宋体" w:hAnsi="宋体" w:cs="宋体"/>
                <w:color w:val="auto"/>
                <w:kern w:val="0"/>
                <w:sz w:val="18"/>
                <w:szCs w:val="18"/>
                <w:highlight w:val="none"/>
              </w:rPr>
              <w:t>满足试验相关设备供配电，场地提供 AC400V 50HZ电源，具体用电量由投标人设计核算。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bookmarkStart w:id="558" w:name="_Hlk133515481"/>
            <w:r>
              <w:rPr>
                <w:rFonts w:hint="eastAsia" w:ascii="宋体" w:hAnsi="宋体" w:cs="宋体"/>
                <w:color w:val="auto"/>
                <w:kern w:val="0"/>
                <w:sz w:val="18"/>
                <w:szCs w:val="18"/>
                <w:highlight w:val="none"/>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kern w:val="0"/>
                <w:sz w:val="18"/>
                <w:szCs w:val="18"/>
                <w:highlight w:val="none"/>
              </w:rPr>
            </w:pPr>
            <w:r>
              <w:rPr>
                <w:rFonts w:hint="eastAsia" w:ascii="宋体" w:hAnsi="宋体" w:cs="宋体"/>
                <w:color w:val="auto"/>
                <w:sz w:val="18"/>
                <w:szCs w:val="18"/>
                <w:highlight w:val="none"/>
              </w:rPr>
              <w:t>低速机安装平台</w:t>
            </w:r>
          </w:p>
        </w:tc>
        <w:tc>
          <w:tcPr>
            <w:tcW w:w="483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left"/>
              <w:textAlignment w:val="center"/>
              <w:rPr>
                <w:rFonts w:ascii="宋体" w:hAnsi="宋体" w:cs="宋体"/>
                <w:color w:val="auto"/>
                <w:kern w:val="0"/>
                <w:sz w:val="18"/>
                <w:szCs w:val="18"/>
                <w:highlight w:val="none"/>
              </w:rPr>
            </w:pPr>
            <w:r>
              <w:rPr>
                <w:rFonts w:ascii="Arial" w:hAnsi="Arial" w:cs="Arial"/>
                <w:color w:val="auto"/>
                <w:kern w:val="0"/>
                <w:sz w:val="18"/>
                <w:szCs w:val="18"/>
                <w:highlight w:val="none"/>
              </w:rPr>
              <w:t>＊</w:t>
            </w:r>
            <w:r>
              <w:rPr>
                <w:rFonts w:hint="eastAsia" w:ascii="宋体" w:hAnsi="宋体"/>
                <w:color w:val="auto"/>
                <w:sz w:val="18"/>
                <w:szCs w:val="18"/>
                <w:highlight w:val="none"/>
              </w:rPr>
              <w:t>该</w:t>
            </w:r>
            <w:r>
              <w:rPr>
                <w:rFonts w:hint="eastAsia"/>
                <w:color w:val="auto"/>
                <w:sz w:val="18"/>
                <w:szCs w:val="18"/>
                <w:highlight w:val="none"/>
              </w:rPr>
              <w:t>安装</w:t>
            </w:r>
            <w:r>
              <w:rPr>
                <w:rFonts w:hint="eastAsia" w:ascii="宋体" w:hAnsi="宋体"/>
                <w:color w:val="auto"/>
                <w:sz w:val="18"/>
                <w:szCs w:val="18"/>
                <w:highlight w:val="none"/>
              </w:rPr>
              <w:t>平台的设计示意图由招标人提供，投标人负责深化设计，投标人应对由于该平台的设计、工艺、材料、质量缺陷等原因导致的任何问题负责</w:t>
            </w:r>
            <w:r>
              <w:rPr>
                <w:rFonts w:hint="eastAsia"/>
                <w:color w:val="auto"/>
                <w:sz w:val="18"/>
                <w:szCs w:val="18"/>
                <w:highlight w:val="none"/>
              </w:rPr>
              <w:t>。</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kern w:val="0"/>
                <w:sz w:val="18"/>
                <w:szCs w:val="18"/>
                <w:highlight w:val="none"/>
              </w:rPr>
            </w:pPr>
            <w:r>
              <w:rPr>
                <w:rFonts w:hint="eastAsia" w:ascii="宋体" w:hAnsi="宋体" w:cs="宋体"/>
                <w:color w:val="auto"/>
                <w:sz w:val="18"/>
                <w:szCs w:val="18"/>
                <w:highlight w:val="none"/>
              </w:rPr>
              <w:t>低速机线条底座安装调平</w:t>
            </w:r>
          </w:p>
        </w:tc>
        <w:tc>
          <w:tcPr>
            <w:tcW w:w="4832" w:type="dxa"/>
            <w:tcBorders>
              <w:top w:val="single" w:color="000000" w:sz="4" w:space="0"/>
              <w:left w:val="single" w:color="000000" w:sz="4" w:space="0"/>
              <w:bottom w:val="single" w:color="000000" w:sz="4" w:space="0"/>
              <w:right w:val="single" w:color="000000" w:sz="4" w:space="0"/>
            </w:tcBorders>
            <w:vAlign w:val="center"/>
          </w:tcPr>
          <w:p>
            <w:pPr>
              <w:pStyle w:val="13"/>
              <w:spacing w:before="0" w:beforeAutospacing="0" w:after="0" w:line="360" w:lineRule="auto"/>
              <w:ind w:firstLine="0" w:firstLineChars="0"/>
              <w:jc w:val="both"/>
              <w:rPr>
                <w:color w:val="auto"/>
                <w:sz w:val="18"/>
                <w:szCs w:val="18"/>
                <w:highlight w:val="none"/>
              </w:rPr>
            </w:pPr>
            <w:r>
              <w:rPr>
                <w:rFonts w:ascii="Arial" w:hAnsi="Arial" w:cs="Arial"/>
                <w:color w:val="auto"/>
                <w:sz w:val="18"/>
                <w:szCs w:val="18"/>
                <w:highlight w:val="none"/>
              </w:rPr>
              <w:t>＊</w:t>
            </w:r>
            <w:r>
              <w:rPr>
                <w:rFonts w:hint="eastAsia" w:cs="Times New Roman"/>
                <w:color w:val="auto"/>
                <w:kern w:val="2"/>
                <w:sz w:val="18"/>
                <w:szCs w:val="18"/>
                <w:highlight w:val="none"/>
              </w:rPr>
              <w:t>投标人负责低速机线条底座（包括202条小线条座和212条大线条座）的安装及调平工作（含粗调和精调）。调平后的线条座平面度等形位公差须满足图纸要求。</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 w:hRule="atLeast"/>
          <w:jc w:val="center"/>
        </w:trPr>
        <w:tc>
          <w:tcPr>
            <w:tcW w:w="686" w:type="dxa"/>
            <w:tcBorders>
              <w:top w:val="single" w:color="000000" w:sz="4" w:space="0"/>
              <w:left w:val="single" w:color="000000" w:sz="4" w:space="0"/>
              <w:bottom w:val="single" w:color="000000" w:sz="4" w:space="0"/>
              <w:right w:val="single" w:color="000000" w:sz="4" w:space="0"/>
            </w:tcBorders>
            <w:vAlign w:val="top"/>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color w:val="auto"/>
                <w:sz w:val="18"/>
                <w:szCs w:val="18"/>
                <w:highlight w:val="none"/>
              </w:rPr>
              <w:t>12</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便携式颗粒度分析仪</w:t>
            </w:r>
          </w:p>
        </w:tc>
        <w:tc>
          <w:tcPr>
            <w:tcW w:w="4832" w:type="dxa"/>
            <w:tcBorders>
              <w:top w:val="single" w:color="000000" w:sz="4" w:space="0"/>
              <w:left w:val="single" w:color="000000" w:sz="4" w:space="0"/>
              <w:bottom w:val="single" w:color="000000" w:sz="4" w:space="0"/>
              <w:right w:val="single" w:color="000000" w:sz="4" w:space="0"/>
            </w:tcBorders>
            <w:vAlign w:val="center"/>
          </w:tcPr>
          <w:p>
            <w:pPr>
              <w:pStyle w:val="13"/>
              <w:spacing w:before="0" w:beforeAutospacing="0" w:after="0" w:line="360" w:lineRule="auto"/>
              <w:ind w:firstLine="0" w:firstLineChars="0"/>
              <w:jc w:val="both"/>
              <w:rPr>
                <w:color w:val="auto"/>
                <w:sz w:val="18"/>
                <w:szCs w:val="18"/>
                <w:highlight w:val="none"/>
              </w:rPr>
            </w:pPr>
            <w:r>
              <w:rPr>
                <w:rFonts w:ascii="Arial" w:hAnsi="Arial" w:cs="Arial"/>
                <w:color w:val="auto"/>
                <w:sz w:val="18"/>
                <w:szCs w:val="18"/>
                <w:highlight w:val="none"/>
              </w:rPr>
              <w:t>＊</w:t>
            </w:r>
            <w:r>
              <w:rPr>
                <w:rFonts w:hint="eastAsia" w:cs="Times New Roman"/>
                <w:color w:val="auto"/>
                <w:kern w:val="2"/>
                <w:sz w:val="18"/>
                <w:szCs w:val="18"/>
                <w:highlight w:val="none"/>
              </w:rPr>
              <w:t>投标人根据招标人的要求，采购一台便携式油液颗粒度分析仪，用于油品分析，保证低速机高压液压油进机要求油品清洁度达到NAS8级，检测粒径范围：5μm-100μm，分析仪为触摸屏设计，采用光阻法（遮光法）原理，高精密传感器保证高分辨率力和准确性，具备离线检测和在线检测功能。</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spacing w:after="160" w:line="259" w:lineRule="auto"/>
              <w:ind w:firstLine="0" w:firstLineChars="0"/>
              <w:jc w:val="center"/>
              <w:rPr>
                <w:rFonts w:ascii="宋体" w:hAnsi="宋体" w:cs="宋体"/>
                <w:color w:val="auto"/>
                <w:sz w:val="18"/>
                <w:szCs w:val="18"/>
                <w:highlight w:val="none"/>
              </w:rPr>
            </w:pPr>
          </w:p>
        </w:tc>
      </w:tr>
    </w:tbl>
    <w:p>
      <w:pPr>
        <w:spacing w:line="360" w:lineRule="auto"/>
        <w:ind w:firstLine="0" w:firstLineChars="0"/>
        <w:jc w:val="left"/>
        <w:rPr>
          <w:rFonts w:ascii="宋体" w:hAnsi="宋体" w:cs="宋体"/>
          <w:b/>
          <w:bCs/>
          <w:color w:val="auto"/>
          <w:spacing w:val="20"/>
          <w:sz w:val="28"/>
          <w:szCs w:val="28"/>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bookmarkEnd w:id="558"/>
      <w:r>
        <w:rPr>
          <w:rFonts w:hint="eastAsia" w:ascii="宋体" w:hAnsi="宋体" w:cs="宋体"/>
          <w:color w:val="auto"/>
          <w:spacing w:val="20"/>
          <w:szCs w:val="21"/>
          <w:highlight w:val="none"/>
        </w:rPr>
        <w:t>需要对各偏离情况进行简明扼要的进行说明。</w:t>
      </w:r>
    </w:p>
    <w:p>
      <w:pPr>
        <w:pStyle w:val="19"/>
        <w:spacing w:line="360" w:lineRule="auto"/>
        <w:ind w:firstLine="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三 项目售后服务、质保要求及响应情况</w:t>
      </w:r>
    </w:p>
    <w:p>
      <w:pPr>
        <w:spacing w:line="360" w:lineRule="auto"/>
        <w:ind w:firstLine="0" w:firstLineChars="0"/>
        <w:jc w:val="center"/>
        <w:rPr>
          <w:rFonts w:ascii="宋体" w:hAnsi="宋体" w:cs="宋体"/>
          <w:b/>
          <w:bCs/>
          <w:color w:val="auto"/>
          <w:spacing w:val="20"/>
          <w:sz w:val="28"/>
          <w:szCs w:val="28"/>
          <w:highlight w:val="none"/>
        </w:rPr>
      </w:pPr>
      <w:r>
        <w:rPr>
          <w:rFonts w:hint="eastAsia" w:ascii="宋体" w:hAnsi="宋体" w:cs="宋体"/>
          <w:color w:val="auto"/>
          <w:spacing w:val="20"/>
          <w:highlight w:val="none"/>
        </w:rPr>
        <w:t>表4 售后服务、质保要求相应表</w:t>
      </w:r>
    </w:p>
    <w:tbl>
      <w:tblPr>
        <w:tblW w:w="9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1"/>
        <w:gridCol w:w="2393"/>
        <w:gridCol w:w="3898"/>
        <w:gridCol w:w="1062"/>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1"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序号</w:t>
            </w:r>
          </w:p>
        </w:tc>
        <w:tc>
          <w:tcPr>
            <w:tcW w:w="239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项目内容</w:t>
            </w:r>
          </w:p>
        </w:tc>
        <w:tc>
          <w:tcPr>
            <w:tcW w:w="3898"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要求</w:t>
            </w:r>
          </w:p>
        </w:tc>
        <w:tc>
          <w:tcPr>
            <w:tcW w:w="1062"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宋体"/>
                <w:b/>
                <w:color w:val="auto"/>
                <w:kern w:val="0"/>
                <w:szCs w:val="21"/>
                <w:highlight w:val="none"/>
              </w:rPr>
              <w:t>响应情况</w:t>
            </w:r>
          </w:p>
        </w:tc>
        <w:tc>
          <w:tcPr>
            <w:tcW w:w="1513" w:type="dxa"/>
            <w:vAlign w:val="center"/>
          </w:tcPr>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1</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收到维修通知响应时间</w:t>
            </w:r>
          </w:p>
        </w:tc>
        <w:tc>
          <w:tcPr>
            <w:tcW w:w="3898"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在4小时内</w:t>
            </w:r>
          </w:p>
        </w:tc>
        <w:tc>
          <w:tcPr>
            <w:tcW w:w="1062"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2</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收到买方</w:t>
            </w:r>
            <w:r>
              <w:rPr>
                <w:rFonts w:hint="eastAsia" w:ascii="宋体" w:hAnsi="宋体" w:cs="宋体"/>
                <w:color w:val="auto"/>
                <w:spacing w:val="20"/>
                <w:szCs w:val="21"/>
                <w:highlight w:val="none"/>
              </w:rPr>
              <w:t>不能自行解决的故障</w:t>
            </w:r>
            <w:r>
              <w:rPr>
                <w:rFonts w:hint="eastAsia" w:ascii="Arial" w:hAnsi="Arial" w:cs="Arial"/>
                <w:bCs/>
                <w:color w:val="auto"/>
                <w:szCs w:val="21"/>
                <w:highlight w:val="none"/>
              </w:rPr>
              <w:t>通知后到达现场处理响应时间</w:t>
            </w:r>
          </w:p>
        </w:tc>
        <w:tc>
          <w:tcPr>
            <w:tcW w:w="3898" w:type="dxa"/>
            <w:vAlign w:val="center"/>
          </w:tcPr>
          <w:p>
            <w:pPr>
              <w:tabs>
                <w:tab w:val="left" w:pos="5551"/>
              </w:tabs>
              <w:ind w:firstLine="0" w:firstLineChars="0"/>
              <w:jc w:val="center"/>
              <w:rPr>
                <w:rFonts w:ascii="Arial" w:hAnsi="Arial" w:cs="Arial"/>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在24小时内</w:t>
            </w:r>
          </w:p>
        </w:tc>
        <w:tc>
          <w:tcPr>
            <w:tcW w:w="1062"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3</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一般故障处理时间</w:t>
            </w:r>
          </w:p>
        </w:tc>
        <w:tc>
          <w:tcPr>
            <w:tcW w:w="3898"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不超过24小时</w:t>
            </w:r>
          </w:p>
        </w:tc>
        <w:tc>
          <w:tcPr>
            <w:tcW w:w="1062"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4</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w:t>
            </w:r>
          </w:p>
        </w:tc>
        <w:tc>
          <w:tcPr>
            <w:tcW w:w="3898"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在终验收合格后壹年</w:t>
            </w:r>
          </w:p>
        </w:tc>
        <w:tc>
          <w:tcPr>
            <w:tcW w:w="1062"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5</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质保期满后的服务</w:t>
            </w:r>
          </w:p>
        </w:tc>
        <w:tc>
          <w:tcPr>
            <w:tcW w:w="3898"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质保期过后，要求中标人能终生提供广泛优惠的技术支持服务。</w:t>
            </w:r>
          </w:p>
        </w:tc>
        <w:tc>
          <w:tcPr>
            <w:tcW w:w="1062"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6</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关于质保其他要求</w:t>
            </w:r>
          </w:p>
        </w:tc>
        <w:tc>
          <w:tcPr>
            <w:tcW w:w="3898" w:type="dxa"/>
            <w:vAlign w:val="center"/>
          </w:tcPr>
          <w:p>
            <w:pPr>
              <w:spacing w:line="360" w:lineRule="auto"/>
              <w:ind w:firstLine="0" w:firstLineChars="0"/>
              <w:rPr>
                <w:rFonts w:ascii="宋体" w:hAnsi="宋体" w:cs="宋体"/>
                <w:color w:val="auto"/>
                <w:spacing w:val="20"/>
                <w:sz w:val="24"/>
                <w:szCs w:val="24"/>
                <w:highlight w:val="none"/>
              </w:rPr>
            </w:pPr>
            <w:r>
              <w:rPr>
                <w:rFonts w:ascii="Arial" w:hAnsi="Arial" w:cs="Arial"/>
                <w:bCs/>
                <w:color w:val="auto"/>
                <w:szCs w:val="21"/>
                <w:highlight w:val="none"/>
              </w:rPr>
              <w:t>＊</w:t>
            </w:r>
            <w:r>
              <w:rPr>
                <w:rFonts w:hint="eastAsia" w:ascii="宋体" w:hAnsi="宋体" w:cs="宋体"/>
                <w:color w:val="auto"/>
                <w:spacing w:val="20"/>
                <w:sz w:val="24"/>
                <w:szCs w:val="24"/>
                <w:highlight w:val="none"/>
              </w:rPr>
              <w:t>1、在质量保证期内，中标方应对由于设备、施工、工艺、材料或质量缺陷等原因导致的任何设备故障负责，并免费负责对设备进行维修（含零部件更换）或以消除故障。</w:t>
            </w:r>
          </w:p>
          <w:p>
            <w:pPr>
              <w:spacing w:line="360" w:lineRule="auto"/>
              <w:ind w:firstLine="0" w:firstLineChars="0"/>
              <w:rPr>
                <w:rFonts w:ascii="宋体" w:hAnsi="宋体" w:cs="宋体"/>
                <w:color w:val="auto"/>
                <w:spacing w:val="20"/>
                <w:sz w:val="24"/>
                <w:szCs w:val="24"/>
                <w:highlight w:val="none"/>
              </w:rPr>
            </w:pPr>
            <w:r>
              <w:rPr>
                <w:rFonts w:ascii="Arial" w:hAnsi="Arial" w:cs="Arial"/>
                <w:bCs/>
                <w:color w:val="auto"/>
                <w:szCs w:val="21"/>
                <w:highlight w:val="none"/>
              </w:rPr>
              <w:t>＊</w:t>
            </w:r>
            <w:r>
              <w:rPr>
                <w:rFonts w:hint="eastAsia" w:ascii="宋体" w:hAnsi="宋体" w:cs="宋体"/>
                <w:color w:val="auto"/>
                <w:spacing w:val="20"/>
                <w:sz w:val="24"/>
                <w:szCs w:val="24"/>
                <w:highlight w:val="none"/>
              </w:rPr>
              <w:t>2、质保期内，如设备或零部件因非人为因素出现故障而造成低速机辅机系统短期停用时，则质保期和免费维修期相应顺延。如设备停用影响生产时间超过30天，则质保期顺延并扣除质保金50%。</w:t>
            </w:r>
          </w:p>
          <w:p>
            <w:pPr>
              <w:spacing w:line="360" w:lineRule="auto"/>
              <w:ind w:firstLine="0" w:firstLineChars="0"/>
              <w:rPr>
                <w:rFonts w:ascii="宋体" w:hAnsi="宋体" w:cs="宋体"/>
                <w:color w:val="auto"/>
                <w:spacing w:val="20"/>
                <w:sz w:val="24"/>
                <w:szCs w:val="24"/>
                <w:highlight w:val="none"/>
              </w:rPr>
            </w:pPr>
            <w:r>
              <w:rPr>
                <w:rFonts w:ascii="Arial" w:hAnsi="Arial" w:cs="Arial"/>
                <w:bCs/>
                <w:color w:val="auto"/>
                <w:szCs w:val="21"/>
                <w:highlight w:val="none"/>
              </w:rPr>
              <w:t>＊</w:t>
            </w:r>
            <w:r>
              <w:rPr>
                <w:rFonts w:hint="eastAsia" w:ascii="宋体" w:hAnsi="宋体" w:cs="宋体"/>
                <w:color w:val="auto"/>
                <w:spacing w:val="20"/>
                <w:sz w:val="24"/>
                <w:szCs w:val="24"/>
                <w:highlight w:val="none"/>
              </w:rPr>
              <w:t>3、对于质量保证期内系统运行出现故障，中标方自接到买方服务通知起4小时内给买方作出响应，诊断设备故障并指导买方排除解决设备故障；对招标方不能自行解决的故障，中标方人员应在24小时内到达买方现场进行维修，一般故障必须在48小时内解决或提供同档次替代品，确保设备恢复正常运行。质量保证期内，所有设备、部件和备件在正当使用情况下，由于设计、制造和材料缺陷等引起的质量问题及直接损失由中标方负责。</w:t>
            </w:r>
          </w:p>
          <w:p>
            <w:pPr>
              <w:spacing w:line="360" w:lineRule="auto"/>
              <w:ind w:firstLine="420"/>
              <w:rPr>
                <w:rFonts w:ascii="宋体" w:hAnsi="宋体" w:cs="宋体"/>
                <w:color w:val="auto"/>
                <w:spacing w:val="20"/>
                <w:sz w:val="24"/>
                <w:szCs w:val="24"/>
                <w:highlight w:val="none"/>
              </w:rPr>
            </w:pPr>
            <w:r>
              <w:rPr>
                <w:rFonts w:ascii="Arial" w:hAnsi="Arial" w:cs="Arial"/>
                <w:bCs/>
                <w:color w:val="auto"/>
                <w:szCs w:val="21"/>
                <w:highlight w:val="none"/>
              </w:rPr>
              <w:t>＊</w:t>
            </w:r>
            <w:r>
              <w:rPr>
                <w:rFonts w:hint="eastAsia" w:ascii="宋体" w:hAnsi="宋体" w:cs="宋体"/>
                <w:color w:val="auto"/>
                <w:spacing w:val="20"/>
                <w:sz w:val="24"/>
                <w:szCs w:val="24"/>
                <w:highlight w:val="none"/>
              </w:rPr>
              <w:t>4、质量保证期内，中标方免费提供维修备件及服务，并应及时有效。</w:t>
            </w:r>
          </w:p>
          <w:p>
            <w:pPr>
              <w:spacing w:line="360" w:lineRule="auto"/>
              <w:ind w:firstLine="420"/>
              <w:rPr>
                <w:rFonts w:ascii="宋体" w:hAnsi="宋体" w:cs="宋体"/>
                <w:color w:val="auto"/>
                <w:spacing w:val="20"/>
                <w:sz w:val="24"/>
                <w:szCs w:val="24"/>
                <w:highlight w:val="none"/>
              </w:rPr>
            </w:pPr>
            <w:r>
              <w:rPr>
                <w:rFonts w:ascii="Arial" w:hAnsi="Arial" w:cs="Arial"/>
                <w:bCs/>
                <w:color w:val="auto"/>
                <w:szCs w:val="21"/>
                <w:highlight w:val="none"/>
              </w:rPr>
              <w:t>＊</w:t>
            </w:r>
            <w:r>
              <w:rPr>
                <w:rFonts w:hint="eastAsia" w:ascii="宋体" w:hAnsi="宋体" w:cs="宋体"/>
                <w:color w:val="auto"/>
                <w:spacing w:val="20"/>
                <w:sz w:val="24"/>
                <w:szCs w:val="24"/>
                <w:highlight w:val="none"/>
              </w:rPr>
              <w:t>5、质量保证期内，中标方根据投标方实际需求免费提供现场使用培训服务；</w:t>
            </w:r>
          </w:p>
          <w:p>
            <w:pPr>
              <w:spacing w:line="360" w:lineRule="auto"/>
              <w:ind w:firstLine="420"/>
              <w:rPr>
                <w:rFonts w:ascii="宋体" w:hAnsi="宋体" w:cs="宋体"/>
                <w:color w:val="auto"/>
                <w:spacing w:val="20"/>
                <w:sz w:val="24"/>
                <w:szCs w:val="24"/>
                <w:highlight w:val="none"/>
              </w:rPr>
            </w:pPr>
            <w:r>
              <w:rPr>
                <w:rFonts w:ascii="Arial" w:hAnsi="Arial" w:cs="Arial"/>
                <w:bCs/>
                <w:color w:val="auto"/>
                <w:szCs w:val="21"/>
                <w:highlight w:val="none"/>
              </w:rPr>
              <w:t>＊</w:t>
            </w:r>
            <w:r>
              <w:rPr>
                <w:rFonts w:hint="eastAsia" w:ascii="宋体" w:hAnsi="宋体" w:cs="宋体"/>
                <w:color w:val="auto"/>
                <w:spacing w:val="20"/>
                <w:sz w:val="24"/>
                <w:szCs w:val="24"/>
                <w:highlight w:val="none"/>
              </w:rPr>
              <w:t>6、低速机各辅机系统在质量保证期到期前一月，由中标方派出有</w:t>
            </w:r>
            <w:bookmarkStart w:id="564" w:name="_GoBack"/>
            <w:bookmarkEnd w:id="564"/>
            <w:r>
              <w:rPr>
                <w:rFonts w:hint="eastAsia" w:ascii="宋体" w:hAnsi="宋体" w:cs="宋体"/>
                <w:color w:val="auto"/>
                <w:spacing w:val="20"/>
                <w:sz w:val="24"/>
                <w:szCs w:val="24"/>
                <w:highlight w:val="none"/>
              </w:rPr>
              <w:t>经验的售后服务工程师对低速机辅机系统进行一次整体的免费保养，并进行必要的控制技术参数调整。具体工作内容如下：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①系统、各设备、各管道等机械部分、电气部分、控制部分等的维护保养。</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②系统控制技术参数优化。</w:t>
            </w:r>
          </w:p>
          <w:p>
            <w:pPr>
              <w:spacing w:line="360" w:lineRule="auto"/>
              <w:ind w:firstLine="560"/>
              <w:rPr>
                <w:rFonts w:ascii="宋体" w:hAnsi="Courier New"/>
                <w:bCs/>
                <w:color w:val="auto"/>
                <w:szCs w:val="21"/>
                <w:highlight w:val="none"/>
              </w:rPr>
            </w:pPr>
            <w:r>
              <w:rPr>
                <w:rFonts w:hint="eastAsia" w:ascii="宋体" w:hAnsi="宋体" w:cs="宋体"/>
                <w:color w:val="auto"/>
                <w:spacing w:val="20"/>
                <w:sz w:val="24"/>
                <w:szCs w:val="24"/>
                <w:highlight w:val="none"/>
              </w:rPr>
              <w:t>③中标方应提供本项目维修保养后，系统使用状态的相关报告给招标方，并针对提出相应的保养建议。</w:t>
            </w:r>
          </w:p>
        </w:tc>
        <w:tc>
          <w:tcPr>
            <w:tcW w:w="1062"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7</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有成熟的专业的低速机辅机房系统售后经验的服务团队</w:t>
            </w:r>
          </w:p>
          <w:p>
            <w:pPr>
              <w:tabs>
                <w:tab w:val="left" w:pos="5551"/>
              </w:tabs>
              <w:ind w:firstLine="0" w:firstLineChars="0"/>
              <w:jc w:val="center"/>
              <w:rPr>
                <w:rFonts w:ascii="Arial" w:hAnsi="Arial" w:cs="Arial"/>
                <w:bCs/>
                <w:color w:val="auto"/>
                <w:szCs w:val="21"/>
                <w:highlight w:val="none"/>
              </w:rPr>
            </w:pPr>
          </w:p>
        </w:tc>
        <w:tc>
          <w:tcPr>
            <w:tcW w:w="3898" w:type="dxa"/>
            <w:vAlign w:val="center"/>
          </w:tcPr>
          <w:p>
            <w:pPr>
              <w:tabs>
                <w:tab w:val="left" w:pos="5551"/>
              </w:tabs>
              <w:ind w:firstLine="0" w:firstLineChars="0"/>
              <w:jc w:val="left"/>
              <w:rPr>
                <w:rFonts w:ascii="宋体" w:hAnsi="Courier New"/>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列出本项目售后服务团队人员信息，提供</w:t>
            </w:r>
            <w:r>
              <w:rPr>
                <w:rFonts w:ascii="Arial" w:hAnsi="Arial" w:cs="Arial"/>
                <w:bCs/>
                <w:color w:val="auto"/>
                <w:szCs w:val="21"/>
                <w:highlight w:val="none"/>
              </w:rPr>
              <w:t>相关人员</w:t>
            </w:r>
            <w:r>
              <w:rPr>
                <w:rFonts w:hint="eastAsia" w:ascii="Arial" w:hAnsi="Arial" w:cs="Arial"/>
                <w:bCs/>
                <w:color w:val="auto"/>
                <w:szCs w:val="21"/>
                <w:highlight w:val="none"/>
              </w:rPr>
              <w:t>机电、</w:t>
            </w:r>
            <w:r>
              <w:rPr>
                <w:rFonts w:ascii="Arial" w:hAnsi="Arial" w:cs="Arial"/>
                <w:bCs/>
                <w:color w:val="auto"/>
                <w:szCs w:val="21"/>
                <w:highlight w:val="none"/>
              </w:rPr>
              <w:t>机械、电气、管路、液压等相关专业</w:t>
            </w:r>
            <w:r>
              <w:rPr>
                <w:rFonts w:hint="eastAsia" w:ascii="Arial" w:hAnsi="Arial" w:cs="Arial"/>
                <w:bCs/>
                <w:color w:val="auto"/>
                <w:szCs w:val="21"/>
                <w:highlight w:val="none"/>
              </w:rPr>
              <w:t>的</w:t>
            </w:r>
            <w:r>
              <w:rPr>
                <w:rFonts w:ascii="Arial" w:hAnsi="Arial" w:cs="Arial"/>
                <w:bCs/>
                <w:color w:val="auto"/>
                <w:szCs w:val="21"/>
                <w:highlight w:val="none"/>
              </w:rPr>
              <w:t>技术证书或职称证书，以及的简历和项目经验等</w:t>
            </w:r>
          </w:p>
        </w:tc>
        <w:tc>
          <w:tcPr>
            <w:tcW w:w="1062"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bl>
    <w:p>
      <w:pPr>
        <w:widowControl/>
        <w:spacing w:line="360" w:lineRule="auto"/>
        <w:ind w:firstLine="0" w:firstLineChars="0"/>
        <w:jc w:val="left"/>
        <w:textAlignment w:val="top"/>
        <w:rPr>
          <w:rFonts w:ascii="宋体" w:hAnsi="宋体" w:cs="宋体"/>
          <w:color w:val="auto"/>
          <w:spacing w:val="20"/>
          <w:sz w:val="24"/>
          <w:szCs w:val="24"/>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”栏注明“优于”或“符合”或“偏离”。需要对各偏离情况进行简明扼要的进行说明。</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0" w:firstLineChars="0"/>
        <w:rPr>
          <w:rFonts w:ascii="宋体" w:hAnsi="宋体" w:cs="宋体"/>
          <w:color w:val="auto"/>
          <w:spacing w:val="20"/>
          <w:sz w:val="24"/>
          <w:szCs w:val="24"/>
          <w:highlight w:val="none"/>
        </w:rPr>
      </w:pP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售后服务单位地址：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投标单位（签章）：                                  </w:t>
      </w: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法定代表人（或法定代理人）签字：                   </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日期：   年    月    日</w:t>
      </w: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pStyle w:val="19"/>
        <w:ind w:firstLine="0"/>
        <w:rPr>
          <w:rFonts w:ascii="宋体" w:hAnsi="宋体" w:cs="宋体"/>
          <w:b/>
          <w:bCs/>
          <w:color w:val="auto"/>
          <w:spacing w:val="20"/>
          <w:sz w:val="24"/>
          <w:szCs w:val="24"/>
          <w:highlight w:val="none"/>
        </w:rPr>
      </w:pPr>
    </w:p>
    <w:p>
      <w:pPr>
        <w:tabs>
          <w:tab w:val="left" w:pos="5551"/>
        </w:tabs>
        <w:ind w:firstLine="0" w:firstLineChars="0"/>
        <w:jc w:val="left"/>
        <w:rPr>
          <w:rFonts w:hint="eastAsia"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附件5：</w:t>
      </w:r>
    </w:p>
    <w:p>
      <w:pPr>
        <w:ind w:firstLine="0" w:firstLineChars="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工业品买卖合同(范本）</w:t>
      </w:r>
    </w:p>
    <w:p>
      <w:pPr>
        <w:ind w:firstLine="883"/>
        <w:jc w:val="right"/>
        <w:rPr>
          <w:rFonts w:ascii="宋体" w:hAnsi="宋体" w:cs="宋体"/>
          <w:b/>
          <w:bCs/>
          <w:color w:val="auto"/>
          <w:sz w:val="44"/>
          <w:szCs w:val="44"/>
          <w:highlight w:val="none"/>
        </w:rPr>
      </w:pPr>
    </w:p>
    <w:p>
      <w:pPr>
        <w:spacing w:line="240" w:lineRule="auto"/>
        <w:ind w:right="420" w:firstLine="0" w:firstLineChars="0"/>
        <w:jc w:val="left"/>
        <w:rPr>
          <w:rFonts w:ascii="宋体" w:hAnsi="宋体" w:cs="宋体"/>
          <w:color w:val="auto"/>
          <w:szCs w:val="21"/>
          <w:highlight w:val="none"/>
        </w:rPr>
      </w:pPr>
      <w:r>
        <w:rPr>
          <w:rFonts w:hint="eastAsia" w:ascii="宋体" w:hAnsi="宋体" w:cs="宋体"/>
          <w:b/>
          <w:bCs/>
          <w:color w:val="auto"/>
          <w:sz w:val="28"/>
          <w:szCs w:val="28"/>
          <w:highlight w:val="none"/>
        </w:rPr>
        <w:t>购买方（甲方）：广州柴油机厂股份有限公司</w:t>
      </w:r>
    </w:p>
    <w:p>
      <w:pPr>
        <w:spacing w:line="240" w:lineRule="auto"/>
        <w:ind w:right="1124" w:firstLine="0" w:firstLineChars="0"/>
        <w:rPr>
          <w:rFonts w:ascii="宋体" w:hAnsi="宋体" w:cs="宋体"/>
          <w:color w:val="auto"/>
          <w:szCs w:val="21"/>
          <w:highlight w:val="none"/>
        </w:rPr>
      </w:pPr>
      <w:r>
        <w:rPr>
          <w:rFonts w:hint="eastAsia" w:ascii="宋体" w:hAnsi="宋体" w:cs="宋体"/>
          <w:b/>
          <w:bCs/>
          <w:color w:val="auto"/>
          <w:sz w:val="28"/>
          <w:szCs w:val="28"/>
          <w:highlight w:val="none"/>
        </w:rPr>
        <w:t xml:space="preserve">销售方（乙方）：                           </w:t>
      </w:r>
    </w:p>
    <w:p>
      <w:pPr>
        <w:pStyle w:val="31"/>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第一条、项目数量、价格、交货期（见表1）：</w:t>
      </w:r>
    </w:p>
    <w:p>
      <w:pPr>
        <w:pStyle w:val="31"/>
        <w:ind w:left="576"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表1 项目报价清单</w:t>
      </w:r>
    </w:p>
    <w:tbl>
      <w:tblPr>
        <w:tblW w:w="10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53"/>
        <w:gridCol w:w="1703"/>
        <w:gridCol w:w="1491"/>
        <w:gridCol w:w="1677"/>
        <w:gridCol w:w="67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项目</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数量（套）</w:t>
            </w:r>
          </w:p>
        </w:tc>
        <w:tc>
          <w:tcPr>
            <w:tcW w:w="2356"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2162"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燃油系统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color w:val="auto"/>
                <w:szCs w:val="21"/>
                <w:highlight w:val="none"/>
              </w:rPr>
            </w:pPr>
            <w:r>
              <w:rPr>
                <w:rFonts w:hint="eastAsia"/>
                <w:color w:val="auto"/>
                <w:szCs w:val="21"/>
                <w:highlight w:val="none"/>
              </w:rPr>
              <w:t>滑油系统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ascii="宋体" w:hAnsi="宋体" w:cs="宋体"/>
                <w:b/>
                <w:bCs/>
                <w:color w:val="auto"/>
                <w:spacing w:val="20"/>
                <w:sz w:val="24"/>
                <w:szCs w:val="24"/>
                <w:highlight w:val="none"/>
              </w:rPr>
              <w:t>2</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color w:val="auto"/>
                <w:szCs w:val="21"/>
                <w:highlight w:val="none"/>
              </w:rPr>
            </w:pPr>
            <w:r>
              <w:rPr>
                <w:rFonts w:hint="eastAsia"/>
                <w:color w:val="auto"/>
                <w:szCs w:val="21"/>
                <w:highlight w:val="none"/>
              </w:rPr>
              <w:t>缸套润滑油系统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电气系统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给排水系统（柴油机冷却水系统、测功器冷却水系统）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center"/>
              <w:rPr>
                <w:rFonts w:ascii="宋体" w:hAnsi="宋体" w:cs="宋体"/>
                <w:b/>
                <w:bCs/>
                <w:color w:val="auto"/>
                <w:spacing w:val="20"/>
                <w:sz w:val="24"/>
                <w:szCs w:val="24"/>
                <w:highlight w:val="none"/>
              </w:rPr>
            </w:pPr>
          </w:p>
        </w:tc>
        <w:tc>
          <w:tcPr>
            <w:tcW w:w="2162" w:type="dxa"/>
            <w:vAlign w:val="center"/>
          </w:tcPr>
          <w:p>
            <w:pPr>
              <w:tabs>
                <w:tab w:val="left" w:pos="5551"/>
              </w:tabs>
              <w:ind w:firstLine="0" w:firstLineChars="0"/>
              <w:jc w:val="center"/>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color w:val="auto"/>
                <w:szCs w:val="21"/>
                <w:highlight w:val="none"/>
              </w:rPr>
            </w:pPr>
            <w:r>
              <w:rPr>
                <w:rFonts w:hint="eastAsia"/>
                <w:color w:val="auto"/>
                <w:szCs w:val="21"/>
                <w:highlight w:val="none"/>
              </w:rPr>
              <w:t>排气系统</w:t>
            </w:r>
          </w:p>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（含SCR尾气处理系统）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控制系统</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低速机安装平台</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4</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低速机线条座安装调平</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便携式油液颗粒度分析仪</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rFonts w:ascii="宋体" w:hAnsi="宋体" w:cs="宋体"/>
                <w:b/>
                <w:bCs/>
                <w:color w:val="auto"/>
                <w:spacing w:val="20"/>
                <w:szCs w:val="21"/>
                <w:highlight w:val="none"/>
              </w:rPr>
            </w:pPr>
            <w:r>
              <w:rPr>
                <w:rFonts w:hint="eastAsia"/>
                <w:color w:val="auto"/>
                <w:szCs w:val="21"/>
                <w:highlight w:val="none"/>
              </w:rPr>
              <w:t>配套土建装修工程</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top"/>
          </w:tcPr>
          <w:p>
            <w:pPr>
              <w:tabs>
                <w:tab w:val="left" w:pos="5551"/>
              </w:tabs>
              <w:ind w:firstLine="0" w:firstLineChars="0"/>
              <w:jc w:val="center"/>
              <w:rPr>
                <w:color w:val="auto"/>
                <w:szCs w:val="21"/>
                <w:highlight w:val="none"/>
              </w:rPr>
            </w:pPr>
            <w:r>
              <w:rPr>
                <w:rFonts w:hint="eastAsia"/>
                <w:color w:val="auto"/>
                <w:szCs w:val="21"/>
                <w:highlight w:val="none"/>
              </w:rPr>
              <w:t>系统调试费</w:t>
            </w:r>
          </w:p>
        </w:tc>
        <w:tc>
          <w:tcPr>
            <w:tcW w:w="149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w:t>
            </w:r>
          </w:p>
        </w:tc>
        <w:tc>
          <w:tcPr>
            <w:tcW w:w="2356"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162"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3168"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841"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056"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3168"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841"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353"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3194"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677"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841"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p>
        </w:tc>
      </w:tr>
    </w:tbl>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42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1、以上报价包含两套低速机辅机系统的总价，包括所有设备、辅具、电缆、管道</w:t>
      </w:r>
    </w:p>
    <w:p>
      <w:pPr>
        <w:tabs>
          <w:tab w:val="left" w:pos="5551"/>
        </w:tabs>
        <w:spacing w:line="240" w:lineRule="auto"/>
        <w:ind w:left="432"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辅件等采购、预验收、运输费、装卸、雇员、安装、调试等费用，包括配套土建装修工程、低速机辅机系统整体联调、验收、使用培训辅导、质保期售后服务、配合管理费、合同实施过程中应预见和不可预见的总费用等。所有价格均应以人民币报价，金额单位为元。</w:t>
      </w:r>
    </w:p>
    <w:p>
      <w:pPr>
        <w:tabs>
          <w:tab w:val="left" w:pos="5551"/>
        </w:tabs>
        <w:spacing w:line="240" w:lineRule="auto"/>
        <w:ind w:left="432" w:firstLine="0" w:firstLineChars="0"/>
        <w:rPr>
          <w:rFonts w:ascii="宋体" w:hAnsi="宋体" w:cs="宋体"/>
          <w:color w:val="auto"/>
          <w:spacing w:val="20"/>
          <w:szCs w:val="21"/>
          <w:highlight w:val="none"/>
        </w:rPr>
      </w:pPr>
      <w:r>
        <w:rPr>
          <w:rFonts w:hint="eastAsia" w:ascii="华文楷体" w:hAnsi="华文楷体" w:eastAsia="华文楷体" w:cs="华文楷体"/>
          <w:color w:val="auto"/>
          <w:spacing w:val="20"/>
          <w:highlight w:val="none"/>
        </w:rPr>
        <w:t>2、</w:t>
      </w:r>
      <w:r>
        <w:rPr>
          <w:rFonts w:hint="eastAsia" w:ascii="宋体" w:hAnsi="宋体" w:cs="宋体"/>
          <w:color w:val="auto"/>
          <w:spacing w:val="20"/>
          <w:highlight w:val="none"/>
        </w:rPr>
        <w:t>表1中的项目，需要有各自的细分项目的明细信息。将相关信息分别填写至表2中。</w:t>
      </w:r>
    </w:p>
    <w:p>
      <w:pPr>
        <w:spacing w:line="240" w:lineRule="auto"/>
        <w:ind w:firstLine="0" w:firstLineChars="0"/>
        <w:rPr>
          <w:rFonts w:ascii="宋体" w:hAnsi="宋体" w:cs="宋体"/>
          <w:color w:val="auto"/>
          <w:spacing w:val="20"/>
          <w:szCs w:val="21"/>
          <w:highlight w:val="none"/>
        </w:rPr>
      </w:pPr>
      <w:r>
        <w:rPr>
          <w:rFonts w:hint="eastAsia" w:ascii="宋体" w:hAnsi="宋体" w:cs="宋体"/>
          <w:b/>
          <w:bCs/>
          <w:color w:val="auto"/>
          <w:sz w:val="24"/>
          <w:szCs w:val="24"/>
          <w:highlight w:val="none"/>
        </w:rPr>
        <w:t>第二条、细分</w:t>
      </w:r>
      <w:ins w:id="0" w:author="节能空压机一一时" w:date="2023-12-09T21:28:00Z">
        <w:r>
          <w:rPr>
            <w:rFonts w:hint="eastAsia" w:ascii="宋体" w:hAnsi="宋体" w:cs="宋体"/>
            <w:b/>
            <w:bCs/>
            <w:color w:val="auto"/>
            <w:sz w:val="24"/>
            <w:szCs w:val="24"/>
            <w:highlight w:val="none"/>
          </w:rPr>
          <w:t>项目</w:t>
        </w:r>
      </w:ins>
      <w:r>
        <w:rPr>
          <w:rFonts w:hint="eastAsia" w:ascii="宋体" w:hAnsi="宋体" w:cs="宋体"/>
          <w:b/>
          <w:bCs/>
          <w:color w:val="auto"/>
          <w:sz w:val="24"/>
          <w:szCs w:val="24"/>
          <w:highlight w:val="none"/>
        </w:rPr>
        <w:t>信息</w:t>
      </w:r>
    </w:p>
    <w:p>
      <w:pPr>
        <w:tabs>
          <w:tab w:val="left" w:pos="5551"/>
        </w:tabs>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将本项目的细分项目信息填写至表2中</w:t>
      </w:r>
    </w:p>
    <w:p>
      <w:pPr>
        <w:spacing w:line="360" w:lineRule="auto"/>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表2 两套低速机辅机系统工艺设备采购和安装调试项目细分项目信息</w:t>
      </w:r>
    </w:p>
    <w:tbl>
      <w:tblPr>
        <w:tblW w:w="9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9"/>
        <w:gridCol w:w="644"/>
        <w:gridCol w:w="393"/>
        <w:gridCol w:w="560"/>
        <w:gridCol w:w="838"/>
        <w:gridCol w:w="583"/>
        <w:gridCol w:w="476"/>
        <w:gridCol w:w="936"/>
        <w:gridCol w:w="952"/>
        <w:gridCol w:w="1033"/>
        <w:gridCol w:w="1200"/>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9"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项目名称及说明</w:t>
            </w:r>
          </w:p>
        </w:tc>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型号</w:t>
            </w:r>
          </w:p>
        </w:tc>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规格</w:t>
            </w:r>
          </w:p>
        </w:tc>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投标单位计划选用的厂家（品牌）</w:t>
            </w:r>
          </w:p>
        </w:tc>
        <w:tc>
          <w:tcPr>
            <w:tcW w:w="58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单位</w:t>
            </w:r>
          </w:p>
        </w:tc>
        <w:tc>
          <w:tcPr>
            <w:tcW w:w="476"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工程量</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不含税全费用综合单价</w:t>
            </w:r>
            <w:r>
              <w:rPr>
                <w:rFonts w:hint="eastAsia" w:ascii="宋体" w:hAnsi="宋体" w:cs="宋体"/>
                <w:color w:val="auto"/>
                <w:kern w:val="0"/>
                <w:sz w:val="18"/>
                <w:szCs w:val="18"/>
                <w:highlight w:val="none"/>
              </w:rPr>
              <w:br/>
            </w:r>
            <w:r>
              <w:rPr>
                <w:rFonts w:hint="eastAsia" w:ascii="宋体" w:hAnsi="宋体" w:cs="宋体"/>
                <w:color w:val="auto"/>
                <w:kern w:val="0"/>
                <w:sz w:val="18"/>
                <w:szCs w:val="18"/>
                <w:highlight w:val="none"/>
              </w:rPr>
              <w:t>(元)</w:t>
            </w:r>
          </w:p>
        </w:tc>
        <w:tc>
          <w:tcPr>
            <w:tcW w:w="95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不含税全费用合价(元)</w:t>
            </w:r>
          </w:p>
        </w:tc>
        <w:tc>
          <w:tcPr>
            <w:tcW w:w="3714" w:type="dxa"/>
            <w:gridSpan w:val="3"/>
            <w:tcBorders>
              <w:top w:val="single" w:color="000000" w:sz="4" w:space="0"/>
              <w:left w:val="single" w:color="000000" w:sz="4" w:space="0"/>
              <w:bottom w:val="single" w:color="000000" w:sz="4" w:space="0"/>
              <w:right w:val="single" w:color="auto" w:sz="4" w:space="0"/>
            </w:tcBorders>
            <w:vAlign w:val="center"/>
          </w:tcPr>
          <w:p>
            <w:pPr>
              <w:widowControl/>
              <w:ind w:firstLine="36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不含税综合单价分析表（单位：元）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419"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设备费</w:t>
            </w:r>
            <w:r>
              <w:rPr>
                <w:rFonts w:hint="eastAsia" w:ascii="宋体" w:hAnsi="宋体" w:cs="宋体"/>
                <w:color w:val="auto"/>
                <w:kern w:val="0"/>
                <w:sz w:val="18"/>
                <w:szCs w:val="18"/>
                <w:highlight w:val="none"/>
              </w:rPr>
              <w:br/>
            </w:r>
            <w:r>
              <w:rPr>
                <w:rFonts w:hint="eastAsia" w:ascii="宋体" w:hAnsi="宋体" w:cs="宋体"/>
                <w:color w:val="auto"/>
                <w:kern w:val="0"/>
                <w:sz w:val="18"/>
                <w:szCs w:val="18"/>
                <w:highlight w:val="none"/>
              </w:rPr>
              <w:t>（含主材费、辅材费等）</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安装费用（含人工费、措施费、机械费等）</w:t>
            </w:r>
          </w:p>
        </w:tc>
        <w:tc>
          <w:tcPr>
            <w:tcW w:w="148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其他费用</w:t>
            </w:r>
            <w:r>
              <w:rPr>
                <w:rFonts w:hint="eastAsia" w:ascii="宋体" w:hAnsi="宋体" w:cs="宋体"/>
                <w:color w:val="auto"/>
                <w:kern w:val="0"/>
                <w:sz w:val="18"/>
                <w:szCs w:val="18"/>
                <w:highlight w:val="none"/>
              </w:rPr>
              <w:br/>
            </w:r>
            <w:r>
              <w:rPr>
                <w:rFonts w:hint="eastAsia" w:ascii="宋体" w:hAnsi="宋体" w:cs="宋体"/>
                <w:color w:val="auto"/>
                <w:kern w:val="0"/>
                <w:sz w:val="18"/>
                <w:szCs w:val="18"/>
                <w:highlight w:val="none"/>
              </w:rPr>
              <w:t>（含管理费、差旅费、利润、规费等）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419"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481"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9"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A2=A+B+C</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A3=A1*A2</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B</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18"/>
                <w:szCs w:val="18"/>
                <w:highlight w:val="none"/>
              </w:rPr>
            </w:pP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auto"/>
                <w:sz w:val="18"/>
                <w:szCs w:val="18"/>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cs="宋体"/>
                <w:color w:val="auto"/>
                <w:sz w:val="18"/>
                <w:szCs w:val="18"/>
                <w:highlight w:val="none"/>
              </w:rPr>
            </w:pPr>
          </w:p>
        </w:tc>
      </w:tr>
    </w:tbl>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备注：</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⑴本表需要详细罗列出两套低速机辅机系统工艺设备采购和安装调试项目所需的所有细分项目（含辅件材料）。</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⑵</w:t>
      </w:r>
      <w:r>
        <w:rPr>
          <w:rFonts w:hint="eastAsia" w:ascii="宋体" w:hAnsi="宋体" w:cs="宋体"/>
          <w:color w:val="auto"/>
          <w:spacing w:val="20"/>
          <w:highlight w:val="none"/>
        </w:rPr>
        <w:t>本表细分项目设备的</w:t>
      </w:r>
      <w:r>
        <w:rPr>
          <w:rFonts w:hint="eastAsia" w:ascii="宋体" w:hAnsi="宋体" w:cs="宋体"/>
          <w:b/>
          <w:bCs/>
          <w:color w:val="auto"/>
          <w:spacing w:val="20"/>
          <w:highlight w:val="none"/>
        </w:rPr>
        <w:t>生产厂家及品牌</w:t>
      </w:r>
      <w:r>
        <w:rPr>
          <w:rFonts w:hint="eastAsia" w:ascii="宋体" w:hAnsi="宋体" w:cs="宋体"/>
          <w:color w:val="auto"/>
          <w:spacing w:val="20"/>
          <w:highlight w:val="none"/>
        </w:rPr>
        <w:t>、型号、数量等须符合并满足本项目的招标要求，对于施工过程中因设备的</w:t>
      </w:r>
      <w:r>
        <w:rPr>
          <w:rFonts w:hint="eastAsia" w:ascii="宋体" w:hAnsi="宋体" w:cs="宋体"/>
          <w:b/>
          <w:bCs/>
          <w:color w:val="auto"/>
          <w:spacing w:val="20"/>
          <w:highlight w:val="none"/>
        </w:rPr>
        <w:t>生产厂家及品牌</w:t>
      </w:r>
      <w:r>
        <w:rPr>
          <w:rFonts w:hint="eastAsia" w:ascii="宋体" w:hAnsi="宋体" w:cs="宋体"/>
          <w:color w:val="auto"/>
          <w:spacing w:val="20"/>
          <w:highlight w:val="none"/>
        </w:rPr>
        <w:t>、型号、数量等罗列不全、不符合或不满足安装要求的，由投标人自己承担。</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⑶</w:t>
      </w:r>
      <w:r>
        <w:rPr>
          <w:rFonts w:hint="eastAsia" w:ascii="宋体" w:hAnsi="宋体" w:cs="宋体"/>
          <w:color w:val="auto"/>
          <w:spacing w:val="20"/>
          <w:highlight w:val="none"/>
        </w:rPr>
        <w:t>本表相关产品的合计金额，是表1中两套低速机辅机系统工艺设备采购和安装调试项目的合计金额，该合计金额须包含在表1投标报价的总价格中。所有价格均以人民币报价，金额单位为元。</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⑷采用设备生产厂家与品牌价差如实结算和按</w:t>
      </w:r>
      <w:r>
        <w:rPr>
          <w:rFonts w:hint="eastAsia"/>
          <w:color w:val="auto"/>
          <w:spacing w:val="20"/>
          <w:highlight w:val="none"/>
        </w:rPr>
        <w:t>合同价</w:t>
      </w:r>
      <w:r>
        <w:rPr>
          <w:rFonts w:hint="eastAsia" w:ascii="宋体" w:hAnsi="宋体" w:cs="宋体"/>
          <w:color w:val="auto"/>
          <w:spacing w:val="20"/>
          <w:highlight w:val="none"/>
        </w:rPr>
        <w:t>最高限价原则，具体办法见第三条责任和结算约定段落。</w:t>
      </w:r>
    </w:p>
    <w:p>
      <w:pPr>
        <w:spacing w:line="360" w:lineRule="auto"/>
        <w:ind w:firstLine="0" w:firstLineChars="0"/>
        <w:jc w:val="left"/>
        <w:rPr>
          <w:rFonts w:ascii="宋体" w:hAnsi="宋体" w:cs="宋体"/>
          <w:strike/>
          <w:color w:val="auto"/>
          <w:spacing w:val="20"/>
          <w:highlight w:val="none"/>
        </w:rPr>
      </w:pPr>
      <w:r>
        <w:rPr>
          <w:rFonts w:hint="eastAsia" w:ascii="宋体" w:hAnsi="宋体" w:cs="宋体"/>
          <w:color w:val="auto"/>
          <w:spacing w:val="20"/>
          <w:szCs w:val="21"/>
          <w:highlight w:val="none"/>
        </w:rPr>
        <w:t>⑸本表参照附件1《投标人项目报价清单明细表》格式填写。</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第三条、责任和结算约定</w:t>
      </w:r>
    </w:p>
    <w:p>
      <w:pPr>
        <w:pStyle w:val="13"/>
        <w:spacing w:before="0" w:beforeAutospacing="0" w:after="0" w:line="360" w:lineRule="auto"/>
        <w:ind w:firstLine="480"/>
        <w:jc w:val="both"/>
        <w:rPr>
          <w:rFonts w:cs="Times New Roman"/>
          <w:color w:val="auto"/>
          <w:kern w:val="2"/>
          <w:highlight w:val="none"/>
        </w:rPr>
      </w:pPr>
      <w:r>
        <w:rPr>
          <w:rFonts w:hint="eastAsia" w:cs="Times New Roman"/>
          <w:color w:val="auto"/>
          <w:kern w:val="2"/>
          <w:highlight w:val="none"/>
        </w:rPr>
        <w:t>本项目在签订合同后，按照《表2》投标方提供的详细的设备清单中的设备品牌对应价格签订合同。实际施工中乙方原则上应按照合同落实选用的设备生产厂家及品牌，确因各种原因需要更改的，经本项目设计方和甲方同意允许投标人根据本项目的实际情况对其投标文件涉及的相关设备生产厂家及品牌、名称、型号、数量等进行修改，相应的价格结算时根据实际进行调整，但总价不能超过本项目合同价。</w:t>
      </w:r>
    </w:p>
    <w:p>
      <w:pPr>
        <w:pStyle w:val="13"/>
        <w:spacing w:before="0" w:beforeAutospacing="0" w:after="0" w:line="360" w:lineRule="auto"/>
        <w:ind w:firstLine="480"/>
        <w:jc w:val="both"/>
        <w:rPr>
          <w:rFonts w:cs="Times New Roman"/>
          <w:color w:val="auto"/>
          <w:kern w:val="2"/>
          <w:highlight w:val="none"/>
        </w:rPr>
      </w:pPr>
      <w:r>
        <w:rPr>
          <w:rFonts w:hint="eastAsia" w:cs="Times New Roman"/>
          <w:color w:val="auto"/>
          <w:kern w:val="2"/>
          <w:highlight w:val="none"/>
        </w:rPr>
        <w:t>本项目设计方案、图纸、设备选型等可能考虑不周或实施时设备供应商、实际场地等原因需要修改，可能存在施工时多个单位协调配合的矛盾，投标人需要承担项目落实中的各种风险，甲方允许乙方确因客观原因对本项目设计、图纸、设备选型等具体细节进行修改，也允许结算按实际执行的主要设备变化进行结算，但《表2》清单列明外的其他辅助材料的变化不影响结算价。无论修改变化有多大，结算总价仍不能超过本项目合同价。</w:t>
      </w:r>
    </w:p>
    <w:p>
      <w:pPr>
        <w:pStyle w:val="13"/>
        <w:spacing w:before="0" w:beforeAutospacing="0" w:after="0" w:line="360" w:lineRule="auto"/>
        <w:ind w:firstLine="480"/>
        <w:jc w:val="both"/>
        <w:rPr>
          <w:b/>
          <w:bCs/>
          <w:color w:val="auto"/>
          <w:spacing w:val="20"/>
          <w:highlight w:val="none"/>
        </w:rPr>
      </w:pPr>
      <w:r>
        <w:rPr>
          <w:rFonts w:hint="eastAsia" w:cs="Times New Roman"/>
          <w:color w:val="auto"/>
          <w:kern w:val="2"/>
          <w:highlight w:val="none"/>
        </w:rPr>
        <w:t>乙方须按设计方案、图纸、《表2》清单内的设备规格参数等进行整体的施工深化设计，并对清单内的各设备之间的匹配度负责以及整体满足试验性能负责。乙方需要对清单内的设备及其参数有更改的，需要以本合同的附件形式另外说明，并对可能造成不能满足生产和试验要求造成的损失负责。</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第四条、履约保证金额要求：</w:t>
      </w:r>
    </w:p>
    <w:p>
      <w:pPr>
        <w:tabs>
          <w:tab w:val="left" w:pos="5551"/>
        </w:tabs>
        <w:spacing w:line="360" w:lineRule="auto"/>
        <w:ind w:firstLine="0" w:firstLineChars="0"/>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 xml:space="preserve">   销售方提供的履约保证金额为合同总价的</w:t>
      </w:r>
      <w:r>
        <w:rPr>
          <w:rFonts w:hint="eastAsia" w:ascii="宋体" w:hAnsi="宋体" w:cs="宋体"/>
          <w:b/>
          <w:bCs/>
          <w:color w:val="auto"/>
          <w:spacing w:val="20"/>
          <w:sz w:val="24"/>
          <w:szCs w:val="24"/>
          <w:highlight w:val="none"/>
        </w:rPr>
        <w:t>15%</w:t>
      </w:r>
      <w:r>
        <w:rPr>
          <w:rFonts w:hint="eastAsia" w:ascii="宋体" w:hAnsi="宋体" w:cs="宋体"/>
          <w:color w:val="auto"/>
          <w:spacing w:val="20"/>
          <w:sz w:val="24"/>
          <w:szCs w:val="24"/>
          <w:highlight w:val="none"/>
        </w:rPr>
        <w:t>，须在合同签订后30天内以银行保函方式提交给购买方。</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第五条、质量标准：</w:t>
      </w:r>
    </w:p>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所有设备必须符合国家标准及行业标准以及招标公告所提出的要求及技术协议要求，保证货物不是国家明令限制、淘汰产品；</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第六条、货物包装及包装处置：</w:t>
      </w:r>
    </w:p>
    <w:p>
      <w:pPr>
        <w:numPr>
          <w:ilvl w:val="0"/>
          <w:numId w:val="6"/>
        </w:numPr>
        <w:spacing w:line="360" w:lineRule="auto"/>
        <w:ind w:firstLine="547" w:firstLineChars="228"/>
        <w:jc w:val="left"/>
        <w:rPr>
          <w:rFonts w:ascii="宋体" w:hAnsi="宋体" w:cs="宋体"/>
          <w:color w:val="auto"/>
          <w:sz w:val="24"/>
          <w:szCs w:val="24"/>
          <w:highlight w:val="none"/>
        </w:rPr>
      </w:pPr>
      <w:r>
        <w:rPr>
          <w:rFonts w:hint="eastAsia" w:ascii="宋体" w:hAnsi="宋体" w:cs="宋体"/>
          <w:color w:val="auto"/>
          <w:sz w:val="24"/>
          <w:szCs w:val="24"/>
          <w:highlight w:val="none"/>
        </w:rPr>
        <w:t>由销售方提供，能有效地防护货物不被碰伤及防雨、防潮。包装没有特别声明不回收；</w:t>
      </w:r>
    </w:p>
    <w:p>
      <w:pPr>
        <w:numPr>
          <w:ilvl w:val="0"/>
          <w:numId w:val="7"/>
        </w:numPr>
        <w:spacing w:line="360" w:lineRule="auto"/>
        <w:ind w:firstLine="0" w:firstLineChars="0"/>
        <w:rPr>
          <w:rFonts w:ascii="宋体" w:hAnsi="宋体" w:cs="宋体"/>
          <w:b/>
          <w:bCs/>
          <w:color w:val="auto"/>
          <w:sz w:val="24"/>
          <w:szCs w:val="24"/>
          <w:highlight w:val="none"/>
        </w:rPr>
      </w:pPr>
      <w:r>
        <w:rPr>
          <w:rFonts w:hint="eastAsia" w:ascii="宋体" w:hAnsi="宋体" w:cs="宋体"/>
          <w:b/>
          <w:bCs/>
          <w:color w:val="auto"/>
          <w:sz w:val="24"/>
          <w:szCs w:val="24"/>
          <w:highlight w:val="none"/>
        </w:rPr>
        <w:t>、交货地点、运费支付：</w:t>
      </w:r>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    广州市南沙区大岗镇潭新公路362号广州工控大湾区现代高端装备研发生产基地项目（二期），运费由销售方承担；</w:t>
      </w:r>
    </w:p>
    <w:p>
      <w:pPr>
        <w:numPr>
          <w:ilvl w:val="0"/>
          <w:numId w:val="7"/>
        </w:numPr>
        <w:spacing w:line="360" w:lineRule="auto"/>
        <w:ind w:firstLine="0" w:firstLineChars="0"/>
        <w:rPr>
          <w:rFonts w:ascii="宋体" w:hAnsi="宋体" w:cs="宋体"/>
          <w:b/>
          <w:bCs/>
          <w:color w:val="auto"/>
          <w:sz w:val="24"/>
          <w:szCs w:val="24"/>
          <w:highlight w:val="none"/>
        </w:rPr>
      </w:pPr>
      <w:r>
        <w:rPr>
          <w:rFonts w:hint="eastAsia" w:ascii="宋体" w:hAnsi="宋体" w:cs="宋体"/>
          <w:b/>
          <w:bCs/>
          <w:color w:val="auto"/>
          <w:sz w:val="24"/>
          <w:szCs w:val="24"/>
          <w:highlight w:val="none"/>
        </w:rPr>
        <w:t>、货物交接：</w:t>
      </w:r>
    </w:p>
    <w:p>
      <w:pPr>
        <w:spacing w:line="360" w:lineRule="auto"/>
        <w:ind w:firstLine="0" w:firstLineChars="0"/>
        <w:jc w:val="left"/>
        <w:rPr>
          <w:rFonts w:ascii="宋体" w:hAnsi="宋体" w:cs="宋体"/>
          <w:strike/>
          <w:color w:val="auto"/>
          <w:sz w:val="24"/>
          <w:szCs w:val="24"/>
          <w:highlight w:val="none"/>
        </w:rPr>
      </w:pPr>
      <w:r>
        <w:rPr>
          <w:rFonts w:hint="eastAsia" w:ascii="宋体" w:hAnsi="宋体" w:cs="宋体"/>
          <w:color w:val="auto"/>
          <w:sz w:val="24"/>
          <w:szCs w:val="24"/>
          <w:highlight w:val="none"/>
        </w:rPr>
        <w:t xml:space="preserve">    货物到达交货地点后，要有购、销双方人员或委托人按照送货清单当面点检签收确认。</w:t>
      </w:r>
    </w:p>
    <w:p>
      <w:pPr>
        <w:numPr>
          <w:ilvl w:val="0"/>
          <w:numId w:val="7"/>
        </w:numPr>
        <w:spacing w:line="360" w:lineRule="auto"/>
        <w:ind w:firstLine="0" w:firstLineChars="0"/>
        <w:rPr>
          <w:rFonts w:ascii="宋体" w:hAnsi="宋体" w:cs="宋体"/>
          <w:b/>
          <w:bCs/>
          <w:color w:val="auto"/>
          <w:sz w:val="24"/>
          <w:szCs w:val="24"/>
          <w:highlight w:val="none"/>
        </w:rPr>
      </w:pPr>
      <w:r>
        <w:rPr>
          <w:rFonts w:hint="eastAsia" w:ascii="宋体" w:hAnsi="宋体" w:cs="宋体"/>
          <w:b/>
          <w:bCs/>
          <w:color w:val="auto"/>
          <w:sz w:val="24"/>
          <w:szCs w:val="24"/>
          <w:highlight w:val="none"/>
        </w:rPr>
        <w:t>、安装调试：</w:t>
      </w:r>
    </w:p>
    <w:p>
      <w:pPr>
        <w:spacing w:after="160" w:line="360" w:lineRule="auto"/>
        <w:ind w:firstLine="0" w:firstLineChars="0"/>
        <w:rPr>
          <w:rFonts w:ascii="宋体" w:hAnsi="宋体" w:cs="宋体"/>
          <w:strike/>
          <w:color w:val="auto"/>
          <w:sz w:val="24"/>
          <w:szCs w:val="24"/>
          <w:highlight w:val="none"/>
        </w:rPr>
      </w:pPr>
      <w:r>
        <w:rPr>
          <w:rFonts w:hint="eastAsia" w:ascii="宋体" w:hAnsi="宋体" w:cs="宋体"/>
          <w:color w:val="auto"/>
          <w:sz w:val="24"/>
          <w:szCs w:val="24"/>
          <w:highlight w:val="none"/>
        </w:rPr>
        <w:t xml:space="preserve">    乙方根据甲方的各项要求负责全部责任范围内试验设备和材料的选型、采购、制造、安装、调试等各项工作，制造和安装、调试等过程中所需设备、机械、工具均为乙方负责，甲方仅提供场地内已有机械设备可供乙方使用。</w:t>
      </w:r>
    </w:p>
    <w:p>
      <w:pPr>
        <w:adjustRightInd w:val="0"/>
        <w:snapToGrid w:val="0"/>
        <w:spacing w:line="360" w:lineRule="auto"/>
        <w:ind w:firstLine="0" w:firstLineChars="0"/>
        <w:rPr>
          <w:rFonts w:ascii="宋体" w:hAnsi="宋体" w:cs="宋体"/>
          <w:b/>
          <w:bCs/>
          <w:color w:val="auto"/>
          <w:sz w:val="24"/>
          <w:szCs w:val="24"/>
          <w:highlight w:val="none"/>
        </w:rPr>
      </w:pPr>
      <w:r>
        <w:rPr>
          <w:rFonts w:hint="eastAsia" w:ascii="宋体" w:hAnsi="宋体" w:cs="宋体"/>
          <w:color w:val="auto"/>
          <w:sz w:val="24"/>
          <w:szCs w:val="24"/>
          <w:highlight w:val="none"/>
        </w:rPr>
        <w:t xml:space="preserve">    设备安装、调试、验收整个过程中，乙方必须安排专职项目经理驻场，确保人员和设备的安全，并负责相关事宜的协调。</w:t>
      </w:r>
    </w:p>
    <w:p>
      <w:pPr>
        <w:pStyle w:val="31"/>
        <w:widowControl/>
        <w:numPr>
          <w:ilvl w:val="0"/>
          <w:numId w:val="8"/>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如货物安装过程中购买方需补充其它内容的，</w:t>
      </w:r>
      <w:bookmarkStart w:id="559" w:name="_Hlk182852982"/>
      <w:r>
        <w:rPr>
          <w:rFonts w:hint="eastAsia" w:ascii="宋体" w:hAnsi="宋体" w:cs="宋体"/>
          <w:color w:val="auto"/>
          <w:sz w:val="24"/>
          <w:szCs w:val="24"/>
          <w:highlight w:val="none"/>
        </w:rPr>
        <w:t>销售方</w:t>
      </w:r>
      <w:bookmarkEnd w:id="559"/>
      <w:r>
        <w:rPr>
          <w:rFonts w:hint="eastAsia" w:ascii="宋体" w:hAnsi="宋体" w:cs="宋体"/>
          <w:color w:val="auto"/>
          <w:sz w:val="24"/>
          <w:szCs w:val="24"/>
          <w:highlight w:val="none"/>
        </w:rPr>
        <w:t>必须配合购买方</w:t>
      </w:r>
    </w:p>
    <w:p>
      <w:pPr>
        <w:widowControl/>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对设计方案进行修正或修改，不得以任何理由加收任何费用。</w:t>
      </w:r>
    </w:p>
    <w:p>
      <w:pPr>
        <w:widowControl/>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②销售方在生产制造及运输装卸过程中，承担运输风险和费用。负责对因制造及运输过程中缺损的零部件予以更换。全部设备符合设计要求。</w:t>
      </w:r>
    </w:p>
    <w:p>
      <w:pPr>
        <w:widowControl/>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③按</w:t>
      </w:r>
      <w:bookmarkStart w:id="560" w:name="_Hlk182853046"/>
      <w:r>
        <w:rPr>
          <w:rFonts w:hint="eastAsia" w:ascii="宋体" w:hAnsi="宋体" w:cs="宋体"/>
          <w:color w:val="auto"/>
          <w:sz w:val="24"/>
          <w:szCs w:val="24"/>
          <w:highlight w:val="none"/>
        </w:rPr>
        <w:t>购买方</w:t>
      </w:r>
      <w:bookmarkEnd w:id="560"/>
      <w:r>
        <w:rPr>
          <w:rFonts w:hint="eastAsia" w:ascii="宋体" w:hAnsi="宋体" w:cs="宋体"/>
          <w:color w:val="auto"/>
          <w:sz w:val="24"/>
          <w:szCs w:val="24"/>
          <w:highlight w:val="none"/>
        </w:rPr>
        <w:t>提供的适合设备安装要求的安装空间（设备长、宽及安装净高），处理好地面等工程问题，对于设备安装设施而导致设备不能达到验收及使用要求的，销售方负责按规范整改。</w:t>
      </w:r>
    </w:p>
    <w:p>
      <w:pPr>
        <w:widowControl/>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④销售方须严格遵守执行购买方工厂现场的管理规定制度，接受购买方对安装现场的质量、安全、文明、环保及纪律的监督和管理。如因安装措施不当造成人员人身安全或工伤死亡事故，一切责任由销售方负责。</w:t>
      </w:r>
    </w:p>
    <w:p>
      <w:pPr>
        <w:widowControl/>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⑤确保安装现场的清洁卫生，施工垃圾须清理干净。销售方完成合同约定的所有工作，在撤场工作结束后，销售方须将现场整洁干净再移交购买方。</w:t>
      </w:r>
    </w:p>
    <w:p>
      <w:pPr>
        <w:widowControl/>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⑥销售方应在购买方指定的范围内安装，在</w:t>
      </w:r>
      <w:bookmarkStart w:id="561" w:name="_Hlk182853133"/>
      <w:r>
        <w:rPr>
          <w:rFonts w:hint="eastAsia" w:ascii="宋体" w:hAnsi="宋体" w:cs="宋体"/>
          <w:color w:val="auto"/>
          <w:sz w:val="24"/>
          <w:szCs w:val="24"/>
          <w:highlight w:val="none"/>
        </w:rPr>
        <w:t>购买方</w:t>
      </w:r>
      <w:bookmarkEnd w:id="561"/>
      <w:r>
        <w:rPr>
          <w:rFonts w:hint="eastAsia" w:ascii="宋体" w:hAnsi="宋体" w:cs="宋体"/>
          <w:color w:val="auto"/>
          <w:sz w:val="24"/>
          <w:szCs w:val="24"/>
          <w:highlight w:val="none"/>
        </w:rPr>
        <w:t>规定的时间内无条件对安装辅助设施进行拆卸和清理场地。销售方在完工后至验收合格并移交购买方前期间，仍须负责设施保护责任及成品的保洁责任，其所需费用包含在合同金额中。</w:t>
      </w:r>
    </w:p>
    <w:p>
      <w:pPr>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⑦设备安装期间</w:t>
      </w:r>
      <w:bookmarkStart w:id="562" w:name="_Hlk182853099"/>
      <w:r>
        <w:rPr>
          <w:rFonts w:hint="eastAsia" w:ascii="宋体" w:hAnsi="宋体" w:cs="宋体"/>
          <w:color w:val="auto"/>
          <w:sz w:val="24"/>
          <w:szCs w:val="24"/>
          <w:highlight w:val="none"/>
        </w:rPr>
        <w:t>销售方</w:t>
      </w:r>
      <w:bookmarkEnd w:id="562"/>
      <w:r>
        <w:rPr>
          <w:rFonts w:hint="eastAsia" w:ascii="宋体" w:hAnsi="宋体" w:cs="宋体"/>
          <w:color w:val="auto"/>
          <w:sz w:val="24"/>
          <w:szCs w:val="24"/>
          <w:highlight w:val="none"/>
        </w:rPr>
        <w:t>须保护购买方原有的场地环境和相关设施设备，如有损坏必须负责赔偿或者恢复原状，并严格加强安装人员管理制度，如发生盗窃，斗殴等现象，则追究销售方责任。</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第十条、验收：</w:t>
      </w:r>
    </w:p>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1、交付验收标准：依次序对照适用标准为：符合中华人民共和国国家安全质量标准、环保标准或行业标准；符合采购文件和响应承诺中采购人认可的各项要求和标准；符合货物来源国官方标准。上述标准必须是有关官方机构发布的最新版本的标准。</w:t>
      </w:r>
    </w:p>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2、应按国家现行有关标准验收或货物来源国官方标准验收。</w:t>
      </w:r>
      <w:bookmarkStart w:id="563" w:name="_Hlk182852931"/>
    </w:p>
    <w:bookmarkEnd w:id="563"/>
    <w:p>
      <w:pPr>
        <w:spacing w:after="160"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   3、设备验收按现行中国国家及行业标准或规范、技术协议及双方认可的标准执行，设备验收包括预验收和最终验收。</w:t>
      </w:r>
    </w:p>
    <w:p>
      <w:pPr>
        <w:spacing w:after="160"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   4、低速机辅机系统预验收</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1）试验设备采购、制造完成后，中标人通知招标人对相关重要设备进行预验收。</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2）招标人根据中标人设备和人员到场的齐整性进行预验收，齐整性指所有主要设备到场并且所有施工人员（包括各专业管理、技术、安装工人）到场，重要试验设备预验收合格后双方签署《预验收报告》。</w:t>
      </w:r>
    </w:p>
    <w:p>
      <w:pPr>
        <w:spacing w:line="360" w:lineRule="auto"/>
        <w:ind w:firstLine="0" w:firstLineChars="0"/>
        <w:rPr>
          <w:rFonts w:ascii="宋体" w:hAnsi="宋体" w:cs="宋体"/>
          <w:color w:val="auto"/>
          <w:sz w:val="24"/>
          <w:szCs w:val="24"/>
          <w:highlight w:val="none"/>
        </w:rPr>
      </w:pPr>
      <w:r>
        <w:rPr>
          <w:rFonts w:hint="eastAsia" w:ascii="宋体" w:hAnsi="宋体" w:cs="宋体"/>
          <w:b/>
          <w:bCs/>
          <w:color w:val="auto"/>
          <w:sz w:val="24"/>
          <w:szCs w:val="24"/>
          <w:highlight w:val="none"/>
        </w:rPr>
        <w:t xml:space="preserve">   5、</w:t>
      </w:r>
      <w:r>
        <w:rPr>
          <w:rFonts w:hint="eastAsia" w:ascii="宋体" w:hAnsi="宋体" w:cs="宋体"/>
          <w:color w:val="auto"/>
          <w:sz w:val="24"/>
          <w:szCs w:val="24"/>
          <w:highlight w:val="none"/>
        </w:rPr>
        <w:t xml:space="preserve"> 辅机系统终验收</w:t>
      </w:r>
    </w:p>
    <w:p>
      <w:pPr>
        <w:spacing w:line="360" w:lineRule="auto"/>
        <w:ind w:firstLine="480"/>
        <w:rPr>
          <w:rFonts w:ascii="宋体" w:hAnsi="宋体" w:cs="宋体"/>
          <w:b/>
          <w:bCs/>
          <w:color w:val="auto"/>
          <w:spacing w:val="20"/>
          <w:sz w:val="28"/>
          <w:szCs w:val="28"/>
          <w:highlight w:val="none"/>
        </w:rPr>
      </w:pPr>
      <w:r>
        <w:rPr>
          <w:rFonts w:hint="eastAsia" w:ascii="宋体" w:hAnsi="宋体" w:cs="宋体"/>
          <w:color w:val="auto"/>
          <w:sz w:val="24"/>
          <w:szCs w:val="24"/>
          <w:highlight w:val="none"/>
        </w:rPr>
        <w:t>乙方负责辅机系统的运输、安装、调试、检验等，在辅机系统完成安装后，乙方需在其自身的投标文件响应的总交货期时间内完成调试和检验，达到招标方正常使用要求。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5.1终验收前乙方须提供的资料包括但不限于：</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1、《项目实施方案书》和深化设计、安装、检验过程中的确认和变更记录等资料。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2、《设备清单》（需分类并详细列出实际选用的设备）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3、《管道、电缆等辅件清单》</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4、《各系统深化设计图纸》</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5、《低速机安装平台深化设计图纸》</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6</w:t>
      </w:r>
      <w:r>
        <w:rPr>
          <w:rFonts w:ascii="宋体" w:hAnsi="宋体" w:cs="宋体"/>
          <w:color w:val="auto"/>
          <w:spacing w:val="20"/>
          <w:sz w:val="24"/>
          <w:szCs w:val="24"/>
          <w:highlight w:val="none"/>
        </w:rPr>
        <w:t>、</w:t>
      </w:r>
      <w:r>
        <w:rPr>
          <w:rFonts w:hint="eastAsia" w:ascii="宋体" w:hAnsi="宋体" w:cs="宋体"/>
          <w:color w:val="auto"/>
          <w:spacing w:val="20"/>
          <w:sz w:val="24"/>
          <w:szCs w:val="24"/>
          <w:highlight w:val="none"/>
        </w:rPr>
        <w:t xml:space="preserve"> 各设备操作说明书和合格证等全套资料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7、辅机各系统最终设计图和操作说明书或操作指南</w:t>
      </w:r>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pacing w:val="20"/>
          <w:sz w:val="24"/>
          <w:szCs w:val="24"/>
          <w:highlight w:val="none"/>
        </w:rPr>
        <w:t xml:space="preserve">   8、</w:t>
      </w:r>
      <w:r>
        <w:rPr>
          <w:rFonts w:ascii="宋体" w:hAnsi="宋体" w:cs="宋体"/>
          <w:color w:val="auto"/>
          <w:spacing w:val="20"/>
          <w:sz w:val="24"/>
          <w:szCs w:val="24"/>
          <w:highlight w:val="none"/>
        </w:rPr>
        <w:t>《项目终验收报告》</w:t>
      </w:r>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   5.2终验收在招标方现场进行，验收内容如下：</w:t>
      </w:r>
    </w:p>
    <w:p>
      <w:pPr>
        <w:numPr>
          <w:ilvl w:val="0"/>
          <w:numId w:val="9"/>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功能、性能联合调试和精度检查采用招标方提供的典型产品和产品试验大纲进行（典型产品和产品试验大纲在辅机系统到达招标方时提供），验收内容为：检查辅机系统的配置、检查各系统全部技术指标应达到设备技术文件要求规定，并进行全面的功能、性能演示、精度检查等。</w:t>
      </w:r>
    </w:p>
    <w:p>
      <w:pPr>
        <w:numPr>
          <w:ilvl w:val="0"/>
          <w:numId w:val="9"/>
        </w:numPr>
        <w:spacing w:line="360" w:lineRule="auto"/>
        <w:ind w:firstLine="480"/>
        <w:rPr>
          <w:rFonts w:ascii="宋体" w:hAnsi="宋体" w:cs="宋体"/>
          <w:b/>
          <w:bCs/>
          <w:color w:val="auto"/>
          <w:spacing w:val="20"/>
          <w:sz w:val="24"/>
          <w:szCs w:val="24"/>
          <w:highlight w:val="none"/>
        </w:rPr>
      </w:pPr>
      <w:r>
        <w:rPr>
          <w:rFonts w:hint="eastAsia" w:ascii="宋体" w:hAnsi="宋体" w:cs="宋体"/>
          <w:color w:val="auto"/>
          <w:sz w:val="24"/>
          <w:szCs w:val="24"/>
          <w:highlight w:val="none"/>
        </w:rPr>
        <w:t>中标方提供安装调试、静态调试报告及联合调试报告。</w:t>
      </w:r>
    </w:p>
    <w:p>
      <w:pPr>
        <w:numPr>
          <w:ilvl w:val="0"/>
          <w:numId w:val="9"/>
        </w:numPr>
        <w:spacing w:line="360" w:lineRule="auto"/>
        <w:ind w:firstLine="560"/>
        <w:rPr>
          <w:rFonts w:ascii="宋体" w:hAnsi="宋体" w:cs="宋体"/>
          <w:color w:val="auto"/>
          <w:sz w:val="24"/>
          <w:szCs w:val="24"/>
          <w:highlight w:val="none"/>
        </w:rPr>
      </w:pPr>
      <w:r>
        <w:rPr>
          <w:rFonts w:hint="eastAsia" w:ascii="宋体" w:hAnsi="宋体" w:cs="宋体"/>
          <w:color w:val="auto"/>
          <w:spacing w:val="20"/>
          <w:sz w:val="24"/>
          <w:szCs w:val="24"/>
          <w:highlight w:val="none"/>
        </w:rPr>
        <w:t>每套低速机辅机系统终验收时,选取一款低速机（6UEC50LSH低速机或6UEC60LSE低速机或7UEC60LSE低速机，具体由招标方在终验收前进行告知中标方）进行正常台架试验，验收合格后才算是完成终验收。</w:t>
      </w:r>
    </w:p>
    <w:p>
      <w:pPr>
        <w:numPr>
          <w:ilvl w:val="0"/>
          <w:numId w:val="9"/>
        </w:numPr>
        <w:spacing w:line="360" w:lineRule="auto"/>
        <w:ind w:firstLine="480"/>
        <w:rPr>
          <w:rFonts w:ascii="宋体" w:hAnsi="宋体"/>
          <w:color w:val="auto"/>
          <w:sz w:val="24"/>
          <w:szCs w:val="24"/>
          <w:highlight w:val="none"/>
        </w:rPr>
      </w:pPr>
      <w:r>
        <w:rPr>
          <w:rFonts w:hint="eastAsia" w:ascii="宋体" w:hAnsi="宋体" w:cs="宋体"/>
          <w:color w:val="auto"/>
          <w:sz w:val="24"/>
          <w:szCs w:val="24"/>
          <w:highlight w:val="none"/>
        </w:rPr>
        <w:t>每套低速机辅机系统需要达到每月满足</w:t>
      </w:r>
      <w:r>
        <w:rPr>
          <w:rFonts w:hint="eastAsia" w:ascii="宋体" w:hAnsi="宋体" w:cs="宋体"/>
          <w:b/>
          <w:bCs/>
          <w:color w:val="auto"/>
          <w:sz w:val="24"/>
          <w:szCs w:val="24"/>
          <w:highlight w:val="none"/>
        </w:rPr>
        <w:t>1.5台6UEC50LSH</w:t>
      </w:r>
      <w:r>
        <w:rPr>
          <w:rFonts w:hint="eastAsia" w:ascii="宋体" w:hAnsi="宋体" w:cs="宋体"/>
          <w:color w:val="auto"/>
          <w:sz w:val="24"/>
          <w:szCs w:val="24"/>
          <w:highlight w:val="none"/>
        </w:rPr>
        <w:t>低速机的台架试验的生产效率要求。</w:t>
      </w:r>
    </w:p>
    <w:p>
      <w:pPr>
        <w:numPr>
          <w:ilvl w:val="0"/>
          <w:numId w:val="9"/>
        </w:numPr>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低速机线条座安装调平的验收需要满足设计图纸要求</w:t>
      </w:r>
    </w:p>
    <w:p>
      <w:pPr>
        <w:numPr>
          <w:ilvl w:val="0"/>
          <w:numId w:val="9"/>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上述现场验收合格后，购买方组织验收评审，评审通过后签署最终验收报告。</w:t>
      </w:r>
    </w:p>
    <w:p>
      <w:pPr>
        <w:spacing w:line="360" w:lineRule="auto"/>
        <w:ind w:firstLine="0" w:firstLineChars="0"/>
        <w:jc w:val="left"/>
        <w:rPr>
          <w:rFonts w:ascii="宋体" w:hAnsi="宋体" w:cs="宋体"/>
          <w:color w:val="auto"/>
          <w:sz w:val="24"/>
          <w:szCs w:val="24"/>
          <w:highlight w:val="none"/>
        </w:rPr>
      </w:pPr>
      <w:r>
        <w:rPr>
          <w:rFonts w:hint="eastAsia" w:ascii="宋体" w:hAnsi="宋体" w:cs="宋体"/>
          <w:b/>
          <w:bCs/>
          <w:color w:val="auto"/>
          <w:sz w:val="24"/>
          <w:szCs w:val="24"/>
          <w:highlight w:val="none"/>
        </w:rPr>
        <w:t>第十一条、质保期、质保金：</w:t>
      </w:r>
    </w:p>
    <w:p>
      <w:pPr>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质保期为终验收合格后壹周年，质保金为合同成交额的10%。</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第十二条、付款方式、出具发票：</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买方预付合同总额的30％作为预付款，同时卖方需开具合同总额30％的增值税（税率：13%）专票发票；预验收合格后，买方支付合同总额的30％作为预验收款，同时卖方需开具合同总额30％的增值税（税率：13%）专票发票；终验收合格后，甲乙双方按照责任和结算约定结算，核算出合同实际总额，甲方至此支付合同实际总额的</w:t>
      </w:r>
      <w:r>
        <w:rPr>
          <w:rFonts w:hint="eastAsia" w:ascii="宋体" w:hAnsi="宋体" w:cs="宋体"/>
          <w:b/>
          <w:bCs/>
          <w:color w:val="auto"/>
          <w:spacing w:val="20"/>
          <w:sz w:val="24"/>
          <w:szCs w:val="24"/>
          <w:highlight w:val="none"/>
        </w:rPr>
        <w:t>95%，</w:t>
      </w:r>
      <w:r>
        <w:rPr>
          <w:rFonts w:hint="eastAsia" w:ascii="宋体" w:hAnsi="宋体" w:cs="宋体"/>
          <w:color w:val="auto"/>
          <w:spacing w:val="20"/>
          <w:sz w:val="24"/>
          <w:szCs w:val="24"/>
          <w:highlight w:val="none"/>
        </w:rPr>
        <w:t>同时卖方至此需开具完合同实际总额的100%增值税（税率：13%）专票发票；合同实际总额余款</w:t>
      </w:r>
      <w:r>
        <w:rPr>
          <w:rFonts w:hint="eastAsia" w:ascii="宋体" w:hAnsi="宋体" w:cs="宋体"/>
          <w:b/>
          <w:bCs/>
          <w:color w:val="auto"/>
          <w:spacing w:val="20"/>
          <w:sz w:val="24"/>
          <w:szCs w:val="24"/>
          <w:highlight w:val="none"/>
        </w:rPr>
        <w:t>5％</w:t>
      </w:r>
      <w:r>
        <w:rPr>
          <w:rFonts w:hint="eastAsia" w:ascii="宋体" w:hAnsi="宋体" w:cs="宋体"/>
          <w:color w:val="auto"/>
          <w:spacing w:val="20"/>
          <w:sz w:val="24"/>
          <w:szCs w:val="24"/>
          <w:highlight w:val="none"/>
        </w:rPr>
        <w:t>作为质保金，如无质量问题，在终验收合格之日起壹年后付清。</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第十三条、质量保证和售后服务：</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1、质量保证期为</w:t>
      </w:r>
      <w:r>
        <w:rPr>
          <w:rFonts w:hint="eastAsia" w:ascii="宋体" w:hAnsi="宋体" w:cs="宋体"/>
          <w:b/>
          <w:bCs/>
          <w:color w:val="auto"/>
          <w:spacing w:val="20"/>
          <w:sz w:val="24"/>
          <w:szCs w:val="24"/>
          <w:highlight w:val="none"/>
        </w:rPr>
        <w:t>12</w:t>
      </w:r>
      <w:r>
        <w:rPr>
          <w:rFonts w:hint="eastAsia" w:ascii="宋体" w:hAnsi="宋体" w:cs="宋体"/>
          <w:color w:val="auto"/>
          <w:spacing w:val="20"/>
          <w:sz w:val="24"/>
          <w:szCs w:val="24"/>
          <w:highlight w:val="none"/>
        </w:rPr>
        <w:t>个月，质量保证期从终验收合格之日起计算。</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2、在质量保证期内，卖方应对由于设备设计、工艺、材料或质量缺陷等原因导致的任何设备故障负责，并免费负责对设备进行维修（含零部件更换）或以消除故障。</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3、质保期内，如设备或零部件因非人为因素出现故障而造成低速机辅机系统短期停用时，则质保期和免费维修期相应顺延。如设备停用影响生产时间超过30天，则质保期顺延并扣除质保金50%。</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对于质量保证期内系统运行出现故障，卖方自接到买方服务通知起4小时内给买方作出响应，诊断设备故障并指导买方排除解决设备故障；对买方不能自行解决的故障，卖方人员应在24小时内到达买方现场进行维修，一般故障必须在48小时内解决或提供同档次替代品，确保设备恢复正常运行。质量保证期内，所有设备、部件和备件在正当使用情况下，由于设计、制造和材料缺陷等引起的质量问题及直接损失由卖方负责。</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5、质量保证期内，卖方免费提供维修备件及服务，并应及时有效。</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6、质量保证期内，卖方根据买方实际需求免费提供现场使用培训服务；</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7、低速机辅机系统在质量保证期到期前一月卖方派有经验的设备工程师对低速机辅机系统进行一次免费保养并进行必要的控制技术参数调整。具体工作内容如下：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①系统机械部分和电气部分维护保养。</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③卖方应提供本项目维修保养后，系统使用状态的相关报告给买方，并针对提出相应的保养建议。</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8、本项目质保期过后，卖方终生提供广泛优惠的技术支持服务。</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第十四条、人员培训：</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低速机辅机系统完成终验收后，卖方委派专业技术工程师在现场对买方有关人员必须免费进行指导、培训，使之掌握设备结构、技术原理及设备的正确操作、检查、维修和保养，并解释所有的技术问题。</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技术培训分为基础培训和进阶培训两个阶段，每次培训时间不少于10个工作日。基础培训于设备交付使用时进行，卖方负责在买方现场对相关操作、维修人员进行技术培训（操作培训不少于10个工作日）；进阶培训在辅机系统交付买方使用半年后进行（具体时间由招标方确定），针对买方在使用过程中存在的问题进行进阶技术培训。</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两个阶段的培训以实效为评价基础，须确保买方参训人员能够具备设备独立操作能力，如培训效果未能达到上述要求，卖方须无条件进行培训时间的延长，确保达到培训效果。</w:t>
      </w:r>
    </w:p>
    <w:p>
      <w:pPr>
        <w:spacing w:beforeLines="50" w:afterLines="50" w:line="360" w:lineRule="auto"/>
        <w:ind w:firstLine="0" w:firstLineChars="0"/>
        <w:outlineLvl w:val="3"/>
        <w:rPr>
          <w:rFonts w:ascii="宋体" w:hAnsi="宋体" w:cs="宋体"/>
          <w:b/>
          <w:bCs/>
          <w:color w:val="auto"/>
          <w:sz w:val="24"/>
          <w:szCs w:val="24"/>
          <w:highlight w:val="none"/>
        </w:rPr>
      </w:pPr>
      <w:r>
        <w:rPr>
          <w:rFonts w:hint="eastAsia" w:ascii="宋体" w:hAnsi="宋体" w:cs="宋体"/>
          <w:b/>
          <w:bCs/>
          <w:color w:val="auto"/>
          <w:sz w:val="24"/>
          <w:szCs w:val="24"/>
          <w:highlight w:val="none"/>
        </w:rPr>
        <w:t>1、基础培训内容</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1）润滑油/柴油原理图、电气原理图、软件控制逻辑，一般故障现象及处理方法（针对设备维护人员和操作人员）。</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2）了解各种阀门、调节阀作用，手动操作程序，如何正确操作辅机系统。</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3）试验设备运行过程中可能存在哪些安全隐患，应当采取哪些防范措施。</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4）学习了解设备参数设定、程序设定、定检及维保工作方法。</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5）学习了解设备易损件、备件参数、厂家信息，并了解相关部件状态检查监测方法及程序。</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6）了解设备各系统全程操作方法及注意事项。</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7）了解设备其他操作运行中的注意事项。</w:t>
      </w:r>
    </w:p>
    <w:p>
      <w:pPr>
        <w:spacing w:beforeLines="50" w:afterLines="50" w:line="360" w:lineRule="auto"/>
        <w:ind w:firstLine="0" w:firstLineChars="0"/>
        <w:outlineLvl w:val="3"/>
        <w:rPr>
          <w:rFonts w:ascii="宋体" w:hAnsi="宋体" w:cs="宋体"/>
          <w:b/>
          <w:bCs/>
          <w:color w:val="auto"/>
          <w:sz w:val="24"/>
          <w:szCs w:val="24"/>
          <w:highlight w:val="none"/>
        </w:rPr>
      </w:pPr>
      <w:r>
        <w:rPr>
          <w:rFonts w:hint="eastAsia" w:ascii="宋体" w:hAnsi="宋体" w:cs="宋体"/>
          <w:b/>
          <w:bCs/>
          <w:color w:val="auto"/>
          <w:sz w:val="24"/>
          <w:szCs w:val="24"/>
          <w:highlight w:val="none"/>
        </w:rPr>
        <w:t>2、进阶培训内容</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1）买方对辅机系统使用过程中存在的技术问题进行详列，卖方针对招标方在使用过程中存在的问题进行进阶技术培训。</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2）设备后台参数的设置原理及修改方法等。</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第十五条、合同生效条件：</w:t>
      </w:r>
    </w:p>
    <w:p>
      <w:pPr>
        <w:pStyle w:val="19"/>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1、签订合同：甲乙双方必须在合同上签字或盖章确认合同协议的内容。</w:t>
      </w:r>
    </w:p>
    <w:p>
      <w:pPr>
        <w:pStyle w:val="19"/>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2、对比合同：甲乙双方应当认真核对合同内容，确认各自的权利和义务，并进行签名或盖章确认。</w:t>
      </w:r>
    </w:p>
    <w:p>
      <w:pPr>
        <w:pStyle w:val="19"/>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3、技术协议或技术规格书内容作为合同的一部分同等重要。</w:t>
      </w:r>
    </w:p>
    <w:p>
      <w:pPr>
        <w:pStyle w:val="1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4、付款条件：甲方应当按照合同约定的付款方式和时间付款。</w:t>
      </w:r>
    </w:p>
    <w:p>
      <w:pPr>
        <w:spacing w:line="360" w:lineRule="auto"/>
        <w:ind w:firstLine="0" w:firstLineChars="0"/>
        <w:jc w:val="left"/>
        <w:rPr>
          <w:rFonts w:ascii="宋体" w:hAnsi="宋体" w:cs="宋体"/>
          <w:color w:val="auto"/>
          <w:sz w:val="24"/>
          <w:szCs w:val="24"/>
          <w:highlight w:val="none"/>
        </w:rPr>
      </w:pPr>
      <w:r>
        <w:rPr>
          <w:rFonts w:hint="eastAsia" w:ascii="宋体" w:hAnsi="宋体" w:cs="宋体"/>
          <w:b/>
          <w:bCs/>
          <w:color w:val="auto"/>
          <w:sz w:val="24"/>
          <w:szCs w:val="24"/>
          <w:highlight w:val="none"/>
        </w:rPr>
        <w:t>第十六条、违约责任及免责条件：</w:t>
      </w:r>
    </w:p>
    <w:p>
      <w:pPr>
        <w:widowControl/>
        <w:adjustRightInd w:val="0"/>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1、任何一方未按照本合同约定履行相应的义务,应承担相应的违约责任。</w:t>
      </w:r>
    </w:p>
    <w:p>
      <w:pPr>
        <w:widowControl/>
        <w:adjustRightInd w:val="0"/>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2、乙方若未按合同规定时间,超过宽限期1个星期后每延迟一天罚总金额千分之一；累计违约金总金额不超合同成交金额的5%。如违约金达到5%时,甲方有权单方解除合同,且甲方不承担任何责任。乙方支付延迟交付违约金,并不能免除乙方按照合同履行交付的义务。</w:t>
      </w:r>
    </w:p>
    <w:p>
      <w:pPr>
        <w:widowControl/>
        <w:adjustRightInd w:val="0"/>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3、因甲方的原因致使产品不能按照约定期限交付的,不追究乙方责任。</w:t>
      </w:r>
    </w:p>
    <w:p>
      <w:pPr>
        <w:widowControl/>
        <w:adjustRightInd w:val="0"/>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4、若因乙方提供产品的质量问题对甲方造成质量事故,甲方有权要求乙方赔偿全部经济损失。</w:t>
      </w:r>
    </w:p>
    <w:p>
      <w:pPr>
        <w:tabs>
          <w:tab w:val="left" w:pos="720"/>
          <w:tab w:val="left" w:pos="851"/>
          <w:tab w:val="left" w:pos="1070"/>
        </w:tabs>
        <w:spacing w:line="360" w:lineRule="auto"/>
        <w:ind w:firstLine="480"/>
        <w:rPr>
          <w:rFonts w:ascii="宋体" w:hAnsi="宋体" w:cs="宋体"/>
          <w:b/>
          <w:bCs/>
          <w:color w:val="auto"/>
          <w:sz w:val="24"/>
          <w:szCs w:val="24"/>
          <w:highlight w:val="none"/>
        </w:rPr>
      </w:pPr>
      <w:r>
        <w:rPr>
          <w:rFonts w:hint="eastAsia" w:ascii="宋体" w:hAnsi="宋体" w:cs="宋体"/>
          <w:color w:val="auto"/>
          <w:sz w:val="24"/>
          <w:szCs w:val="24"/>
          <w:highlight w:val="none"/>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color w:val="auto"/>
          <w:sz w:val="24"/>
          <w:szCs w:val="24"/>
          <w:highlight w:val="none"/>
        </w:rPr>
        <w:t>十</w:t>
      </w:r>
      <w:r>
        <w:rPr>
          <w:rFonts w:hint="eastAsia" w:ascii="宋体" w:hAnsi="宋体" w:cs="宋体"/>
          <w:color w:val="auto"/>
          <w:sz w:val="24"/>
          <w:szCs w:val="24"/>
          <w:highlight w:val="none"/>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第十七条、合同纠纷解决办法：</w:t>
      </w:r>
    </w:p>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购、销双方发生合同纠纷时，应当努力协商寻找解决办法，协商不成可向当地工商行政管理部门申请调解，也可向合同签订地仲裁机构仲裁，或直接向合同签订地人民法院提出起诉。</w:t>
      </w:r>
    </w:p>
    <w:p>
      <w:pPr>
        <w:spacing w:line="360" w:lineRule="auto"/>
        <w:ind w:firstLine="0" w:firstLineChars="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第十八条、合同附件：</w:t>
      </w:r>
    </w:p>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合同附件、技术协议、乙方的投标书与本合同是不可分割的部分，与本合同有同等的法律效力。</w:t>
      </w:r>
    </w:p>
    <w:p>
      <w:pPr>
        <w:spacing w:line="360" w:lineRule="auto"/>
        <w:ind w:firstLine="0" w:firstLineChars="0"/>
        <w:jc w:val="left"/>
        <w:rPr>
          <w:color w:val="auto"/>
          <w:highlight w:val="none"/>
        </w:rPr>
      </w:pPr>
      <w:r>
        <w:rPr>
          <w:rFonts w:hint="eastAsia" w:ascii="宋体" w:hAnsi="宋体" w:cs="宋体"/>
          <w:b/>
          <w:bCs/>
          <w:color w:val="auto"/>
          <w:sz w:val="24"/>
          <w:szCs w:val="24"/>
          <w:highlight w:val="none"/>
        </w:rPr>
        <w:t>第十九条、</w:t>
      </w:r>
      <w:r>
        <w:rPr>
          <w:rFonts w:hint="eastAsia" w:ascii="宋体" w:hAnsi="宋体" w:cs="宋体"/>
          <w:color w:val="auto"/>
          <w:sz w:val="24"/>
          <w:szCs w:val="24"/>
          <w:highlight w:val="none"/>
        </w:rPr>
        <w:t>本合同一式四份，购、销双方各执</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份。</w:t>
      </w:r>
    </w:p>
    <w:tbl>
      <w:tblPr>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购买方：广州柴油机厂股份有限公司</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销售方：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3"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2"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0" w:hRule="atLeast"/>
          <w:jc w:val="center"/>
        </w:trPr>
        <w:tc>
          <w:tcPr>
            <w:tcW w:w="4308" w:type="dxa"/>
            <w:vAlign w:val="center"/>
          </w:tcPr>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电话：</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jc w:val="center"/>
        </w:trPr>
        <w:tc>
          <w:tcPr>
            <w:tcW w:w="4308" w:type="dxa"/>
            <w:vAlign w:val="center"/>
          </w:tcPr>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 xml:space="preserve">税号：            </w:t>
            </w:r>
          </w:p>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发票电话：</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开户行： </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r>
    </w:tbl>
    <w:p>
      <w:pPr>
        <w:ind w:firstLine="0" w:firstLineChars="0"/>
        <w:rPr>
          <w:rFonts w:hint="eastAsia" w:ascii="宋体" w:hAnsi="宋体" w:eastAsia="宋体" w:cs="宋体"/>
          <w:b w:val="0"/>
          <w:bCs w:val="0"/>
          <w:color w:val="auto"/>
          <w:spacing w:val="20"/>
          <w:sz w:val="24"/>
          <w:szCs w:val="24"/>
          <w:highlight w:val="none"/>
          <w:lang w:val="en-US" w:eastAsia="zh-CN"/>
        </w:rPr>
      </w:pPr>
      <w:r>
        <w:rPr>
          <w:rFonts w:hint="eastAsia" w:ascii="宋体" w:hAnsi="宋体" w:cs="宋体"/>
          <w:b w:val="0"/>
          <w:bCs w:val="0"/>
          <w:color w:val="auto"/>
          <w:spacing w:val="20"/>
          <w:sz w:val="24"/>
          <w:szCs w:val="24"/>
          <w:highlight w:val="none"/>
          <w:lang w:val="en-US" w:eastAsia="zh-CN"/>
        </w:rPr>
        <w:t>附件6：</w:t>
      </w:r>
    </w:p>
    <w:p>
      <w:pPr>
        <w:ind w:firstLine="0" w:firstLineChars="0"/>
        <w:jc w:val="center"/>
        <w:rPr>
          <w:rFonts w:ascii="宋体" w:hAnsi="宋体" w:cs="宋体"/>
          <w:b/>
          <w:bCs/>
          <w:color w:val="auto"/>
          <w:sz w:val="32"/>
          <w:szCs w:val="32"/>
          <w:highlight w:val="none"/>
        </w:rPr>
      </w:pPr>
      <w:r>
        <w:rPr>
          <w:rFonts w:hint="eastAsia" w:ascii="宋体" w:hAnsi="宋体" w:cs="宋体"/>
          <w:b/>
          <w:bCs/>
          <w:color w:val="auto"/>
          <w:spacing w:val="20"/>
          <w:sz w:val="32"/>
          <w:szCs w:val="32"/>
          <w:highlight w:val="none"/>
        </w:rPr>
        <w:t>广州工控大湾区现代高端装备研发生产基地项目（二期）</w:t>
      </w:r>
      <w:r>
        <w:rPr>
          <w:rFonts w:hint="eastAsia" w:ascii="宋体" w:hAnsi="宋体" w:cs="宋体"/>
          <w:b/>
          <w:bCs/>
          <w:color w:val="auto"/>
          <w:sz w:val="32"/>
          <w:szCs w:val="32"/>
          <w:highlight w:val="none"/>
        </w:rPr>
        <w:t>低速柴油机辅机系统工艺设备采购和安装调试项目评标办法</w:t>
      </w:r>
    </w:p>
    <w:p>
      <w:pPr>
        <w:ind w:firstLine="0" w:firstLineChars="0"/>
        <w:jc w:val="right"/>
        <w:rPr>
          <w:rFonts w:ascii="宋体" w:hAnsi="宋体" w:cs="宋体"/>
          <w:b/>
          <w:bCs/>
          <w:color w:val="auto"/>
          <w:sz w:val="36"/>
          <w:szCs w:val="36"/>
          <w:highlight w:val="none"/>
        </w:rPr>
      </w:pPr>
      <w:r>
        <w:rPr>
          <w:rFonts w:hint="eastAsia" w:ascii="宋体" w:hAnsi="宋体" w:cs="宋体"/>
          <w:b/>
          <w:bCs/>
          <w:color w:val="auto"/>
          <w:sz w:val="24"/>
          <w:szCs w:val="24"/>
          <w:highlight w:val="none"/>
        </w:rPr>
        <w:t>GC</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DGSBZB07C-</w:t>
      </w:r>
      <w:r>
        <w:rPr>
          <w:rFonts w:ascii="宋体" w:hAnsi="宋体" w:cs="宋体"/>
          <w:b/>
          <w:bCs/>
          <w:color w:val="auto"/>
          <w:sz w:val="24"/>
          <w:szCs w:val="24"/>
          <w:highlight w:val="none"/>
        </w:rPr>
        <w:t>2024</w:t>
      </w:r>
    </w:p>
    <w:p>
      <w:pPr>
        <w:spacing w:line="360" w:lineRule="auto"/>
        <w:ind w:firstLine="547" w:firstLineChars="228"/>
        <w:rPr>
          <w:rFonts w:ascii="宋体" w:hAnsi="宋体" w:cs="宋体"/>
          <w:color w:val="auto"/>
          <w:sz w:val="24"/>
          <w:szCs w:val="24"/>
          <w:highlight w:val="none"/>
        </w:rPr>
      </w:pPr>
      <w:r>
        <w:rPr>
          <w:rFonts w:hint="eastAsia" w:ascii="宋体" w:hAnsi="宋体" w:cs="宋体"/>
          <w:color w:val="auto"/>
          <w:sz w:val="24"/>
          <w:szCs w:val="24"/>
          <w:highlight w:val="none"/>
        </w:rPr>
        <w:t>为确保在公平的条件下保障公司利益最大化，根据《招标公告》</w:t>
      </w:r>
      <w:r>
        <w:rPr>
          <w:rFonts w:ascii="宋体" w:hAnsi="宋体" w:cs="宋体"/>
          <w:color w:val="auto"/>
          <w:sz w:val="24"/>
          <w:szCs w:val="24"/>
          <w:highlight w:val="none"/>
        </w:rPr>
        <w:t>GC-DGSBZB07-2024</w:t>
      </w:r>
      <w:r>
        <w:rPr>
          <w:rFonts w:hint="eastAsia" w:ascii="宋体" w:hAnsi="宋体" w:cs="宋体"/>
          <w:color w:val="auto"/>
          <w:sz w:val="24"/>
          <w:szCs w:val="24"/>
          <w:highlight w:val="none"/>
        </w:rPr>
        <w:t>提出的标的要求，特制定本次应标的评标办法。</w:t>
      </w:r>
    </w:p>
    <w:p>
      <w:pPr>
        <w:spacing w:line="360" w:lineRule="auto"/>
        <w:rPr>
          <w:rFonts w:ascii="宋体" w:hAnsi="宋体"/>
          <w:color w:val="auto"/>
          <w:sz w:val="24"/>
          <w:szCs w:val="24"/>
          <w:highlight w:val="none"/>
        </w:rPr>
      </w:pPr>
      <w:r>
        <w:rPr>
          <w:rFonts w:hint="eastAsia" w:ascii="宋体"/>
          <w:color w:val="auto"/>
          <w:sz w:val="24"/>
          <w:szCs w:val="24"/>
          <w:highlight w:val="none"/>
        </w:rPr>
        <w:t xml:space="preserve"> 1、本项目的评标采用</w:t>
      </w:r>
      <w:r>
        <w:rPr>
          <w:rFonts w:hint="eastAsia" w:ascii="宋体" w:hAnsi="宋体" w:cs="宋体"/>
          <w:color w:val="auto"/>
          <w:sz w:val="24"/>
          <w:szCs w:val="24"/>
          <w:highlight w:val="none"/>
        </w:rPr>
        <w:t>综合评分法</w:t>
      </w:r>
      <w:r>
        <w:rPr>
          <w:rFonts w:hint="eastAsia"/>
          <w:bCs/>
          <w:color w:val="auto"/>
          <w:sz w:val="24"/>
          <w:szCs w:val="24"/>
          <w:highlight w:val="none"/>
        </w:rPr>
        <w:t>，</w:t>
      </w:r>
      <w:r>
        <w:rPr>
          <w:rFonts w:hint="eastAsia" w:ascii="宋体" w:hAnsi="宋体"/>
          <w:color w:val="auto"/>
          <w:sz w:val="24"/>
          <w:szCs w:val="24"/>
          <w:highlight w:val="none"/>
        </w:rPr>
        <w:t>总分</w:t>
      </w:r>
      <w:r>
        <w:rPr>
          <w:rFonts w:ascii="宋体" w:hAnsi="宋体"/>
          <w:color w:val="auto"/>
          <w:sz w:val="24"/>
          <w:szCs w:val="24"/>
          <w:highlight w:val="none"/>
        </w:rPr>
        <w:t>100</w:t>
      </w:r>
      <w:r>
        <w:rPr>
          <w:rFonts w:hint="eastAsia" w:ascii="宋体" w:hAnsi="宋体"/>
          <w:color w:val="auto"/>
          <w:sz w:val="24"/>
          <w:szCs w:val="24"/>
          <w:highlight w:val="none"/>
        </w:rPr>
        <w:t>分。</w:t>
      </w:r>
    </w:p>
    <w:p>
      <w:pPr>
        <w:spacing w:line="360" w:lineRule="auto"/>
        <w:ind w:left="96" w:firstLine="48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s="宋体"/>
          <w:color w:val="auto"/>
          <w:spacing w:val="20"/>
          <w:sz w:val="24"/>
          <w:szCs w:val="24"/>
          <w:highlight w:val="none"/>
        </w:rPr>
        <w:t>本项目高度专业，原则上优先考虑在国内有低速机辅机系统工艺设备采购和安装调试项目业绩的投标单位。</w:t>
      </w:r>
    </w:p>
    <w:p>
      <w:pPr>
        <w:spacing w:line="360" w:lineRule="auto"/>
        <w:ind w:left="96" w:firstLine="480"/>
        <w:rPr>
          <w:rFonts w:ascii="宋体" w:hAnsi="宋体"/>
          <w:color w:val="auto"/>
          <w:sz w:val="24"/>
          <w:szCs w:val="24"/>
          <w:highlight w:val="none"/>
        </w:rPr>
      </w:pPr>
      <w:r>
        <w:rPr>
          <w:rFonts w:hint="eastAsia" w:ascii="宋体"/>
          <w:color w:val="auto"/>
          <w:sz w:val="24"/>
          <w:szCs w:val="24"/>
          <w:highlight w:val="none"/>
        </w:rPr>
        <w:t>3、</w:t>
      </w:r>
      <w:r>
        <w:rPr>
          <w:rFonts w:hint="eastAsia" w:ascii="宋体" w:hAnsi="宋体"/>
          <w:color w:val="auto"/>
          <w:sz w:val="24"/>
          <w:szCs w:val="24"/>
          <w:highlight w:val="none"/>
        </w:rPr>
        <w:t>本次评标采用综合评分法在满足招标文件要求的前提下，对每个有效投标人的投标文件分别进行综合评分并汇总。综合得分（价格得分＋技术得分+商务得分）最高者为第一名，依次类推确定得分排名顺序，推荐排名第一的投标人为中标候选人。若出现多家投标人并列最高分，则确定投标报价较低者为中标候选人。若出现排名前一的中标候选人放弃中标或不能按招标文件规定签订合同等原因取消中标资格，则按排名顺序依次确定排名第二的中标候选人为中标人。具体评分细则如下：</w:t>
      </w:r>
    </w:p>
    <w:tbl>
      <w:tblPr>
        <w:tblW w:w="96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0"/>
        <w:gridCol w:w="651"/>
        <w:gridCol w:w="567"/>
        <w:gridCol w:w="567"/>
        <w:gridCol w:w="3402"/>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54"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序号</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打分项目</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说明</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分值</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评分标准</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投标报价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价格标</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60</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基准值得分为60分，报价每高于基准值每1%减1分，低于基准值每1%减0.5分，取小数点后2位。</w:t>
            </w:r>
          </w:p>
          <w:p>
            <w:pPr>
              <w:widowControl/>
              <w:ind w:firstLine="48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如扣减分计算出现负分，则投标报价得分为0。报价不高于基准值，得60分。</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Fonts w:ascii="宋体" w:hAnsi="宋体" w:cs="宋体"/>
                <w:color w:val="auto"/>
                <w:sz w:val="21"/>
                <w:szCs w:val="21"/>
                <w:highlight w:val="none"/>
              </w:rPr>
            </w:pPr>
            <w:r>
              <w:rPr>
                <w:rStyle w:val="45"/>
                <w:rFonts w:hint="default"/>
                <w:color w:val="auto"/>
                <w:sz w:val="21"/>
                <w:szCs w:val="21"/>
                <w:highlight w:val="none"/>
              </w:rPr>
              <w:t>以投标报价的算术平均值作为本项目的价格评分的基准值。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5"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设备技术参数</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技术标</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Fonts w:ascii="宋体" w:hAnsi="宋体" w:cs="宋体"/>
                <w:color w:val="auto"/>
                <w:sz w:val="21"/>
                <w:szCs w:val="21"/>
                <w:highlight w:val="none"/>
              </w:rPr>
            </w:pPr>
            <w:r>
              <w:rPr>
                <w:rStyle w:val="48"/>
                <w:rFonts w:hint="default"/>
                <w:color w:val="auto"/>
                <w:sz w:val="21"/>
                <w:szCs w:val="21"/>
                <w:highlight w:val="none"/>
              </w:rPr>
              <w:t>1、各系统技术指标参数指标响应情况应均为“符合”得3分；</w:t>
            </w:r>
            <w:r>
              <w:rPr>
                <w:rStyle w:val="47"/>
                <w:rFonts w:hint="default"/>
                <w:strike/>
                <w:color w:val="auto"/>
                <w:sz w:val="21"/>
                <w:szCs w:val="21"/>
                <w:highlight w:val="none"/>
              </w:rPr>
              <w:br/>
            </w:r>
            <w:r>
              <w:rPr>
                <w:rStyle w:val="47"/>
                <w:rFonts w:hint="default"/>
                <w:color w:val="auto"/>
                <w:sz w:val="21"/>
                <w:szCs w:val="21"/>
                <w:highlight w:val="none"/>
              </w:rPr>
              <w:t xml:space="preserve">   2、每一个带“＊”号的</w:t>
            </w:r>
            <w:r>
              <w:rPr>
                <w:rStyle w:val="48"/>
                <w:rFonts w:hint="default"/>
                <w:color w:val="auto"/>
                <w:sz w:val="21"/>
                <w:szCs w:val="21"/>
                <w:highlight w:val="none"/>
              </w:rPr>
              <w:t>技术指标参数指标</w:t>
            </w:r>
            <w:r>
              <w:rPr>
                <w:rStyle w:val="47"/>
                <w:rFonts w:hint="default"/>
                <w:color w:val="auto"/>
                <w:sz w:val="21"/>
                <w:szCs w:val="21"/>
                <w:highlight w:val="none"/>
              </w:rPr>
              <w:t>必须为“符合”或“优于”，如果“偏离”，设备技术参数指标分值为0。</w:t>
            </w:r>
          </w:p>
        </w:tc>
        <w:tc>
          <w:tcPr>
            <w:tcW w:w="382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各系统技术指标参数响应情况见《投标书》表3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8"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技术性能</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auto"/>
              <w:jc w:val="left"/>
              <w:rPr>
                <w:rStyle w:val="48"/>
                <w:rFonts w:hint="default"/>
                <w:color w:val="auto"/>
                <w:sz w:val="21"/>
                <w:szCs w:val="21"/>
                <w:highlight w:val="none"/>
              </w:rPr>
            </w:pPr>
            <w:r>
              <w:rPr>
                <w:rStyle w:val="48"/>
                <w:rFonts w:hint="default"/>
                <w:color w:val="auto"/>
                <w:sz w:val="21"/>
                <w:szCs w:val="21"/>
                <w:highlight w:val="none"/>
              </w:rPr>
              <w:t>1、提供各系统所有细分项目的生产厂家及品牌、单价、规格、型号、数量、人工费用、材料费、管理费、利润等完整信息，得1分。</w:t>
            </w:r>
          </w:p>
          <w:p>
            <w:pPr>
              <w:pStyle w:val="19"/>
              <w:spacing w:line="360" w:lineRule="auto"/>
              <w:ind w:firstLine="48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2、细分项目设备信息较齐全、为国内外知名品牌、价格合理，并被评委会认可的酌情加0.5-2分，最多加2分。</w:t>
            </w:r>
          </w:p>
          <w:p>
            <w:pPr>
              <w:pStyle w:val="19"/>
              <w:spacing w:line="360" w:lineRule="auto"/>
              <w:ind w:firstLine="48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3、未按要求提供</w:t>
            </w:r>
            <w:r>
              <w:rPr>
                <w:rStyle w:val="48"/>
                <w:rFonts w:hint="default"/>
                <w:color w:val="auto"/>
                <w:sz w:val="21"/>
                <w:szCs w:val="21"/>
                <w:highlight w:val="none"/>
              </w:rPr>
              <w:t>各系统所有细分项目的名称、型号、规格、生产厂家等信息的，本技术性能项为0分</w:t>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19"/>
              <w:ind w:firstLine="240" w:firstLineChars="100"/>
              <w:rPr>
                <w:rFonts w:ascii="宋体" w:hAnsi="宋体" w:cs="宋体"/>
                <w:color w:val="auto"/>
                <w:sz w:val="21"/>
                <w:szCs w:val="21"/>
                <w:highlight w:val="none"/>
              </w:rPr>
            </w:pPr>
            <w:r>
              <w:rPr>
                <w:rFonts w:hint="eastAsia" w:ascii="宋体" w:hAnsi="宋体" w:cs="宋体"/>
                <w:color w:val="auto"/>
                <w:sz w:val="21"/>
                <w:szCs w:val="21"/>
                <w:highlight w:val="none"/>
              </w:rPr>
              <w:t>见《投标书》表2或招标文件附件1表格，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项目实施方案</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14</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Style w:val="48"/>
                <w:rFonts w:hint="default"/>
                <w:color w:val="auto"/>
                <w:sz w:val="21"/>
                <w:szCs w:val="21"/>
                <w:highlight w:val="none"/>
              </w:rPr>
            </w:pPr>
            <w:r>
              <w:rPr>
                <w:rStyle w:val="48"/>
                <w:rFonts w:hint="default"/>
                <w:color w:val="auto"/>
                <w:sz w:val="21"/>
                <w:szCs w:val="21"/>
                <w:highlight w:val="none"/>
              </w:rPr>
              <w:t>1、根据招标公告，按要求提供了本项目的①</w:t>
            </w:r>
            <w:r>
              <w:rPr>
                <w:rFonts w:hint="eastAsia" w:ascii="宋体" w:hAnsi="宋体" w:cs="宋体"/>
                <w:color w:val="auto"/>
                <w:spacing w:val="20"/>
                <w:sz w:val="21"/>
                <w:szCs w:val="21"/>
                <w:highlight w:val="none"/>
              </w:rPr>
              <w:t>提供项目总体实施技术方案；</w:t>
            </w:r>
            <w:r>
              <w:rPr>
                <w:rStyle w:val="48"/>
                <w:rFonts w:hint="default"/>
                <w:color w:val="auto"/>
                <w:sz w:val="21"/>
                <w:szCs w:val="21"/>
                <w:highlight w:val="none"/>
              </w:rPr>
              <w:t>②</w:t>
            </w:r>
            <w:r>
              <w:rPr>
                <w:rFonts w:hint="eastAsia" w:ascii="宋体" w:hAnsi="宋体" w:cs="宋体"/>
                <w:color w:val="auto"/>
                <w:spacing w:val="20"/>
                <w:sz w:val="21"/>
                <w:szCs w:val="21"/>
                <w:highlight w:val="none"/>
              </w:rPr>
              <w:t>各系统详细的设备清单（含辅件材料）、配套土建和装修工程清单。</w:t>
            </w:r>
            <w:r>
              <w:rPr>
                <w:rStyle w:val="48"/>
                <w:rFonts w:hint="default"/>
                <w:color w:val="auto"/>
                <w:sz w:val="21"/>
                <w:szCs w:val="21"/>
                <w:highlight w:val="none"/>
              </w:rPr>
              <w:t>③</w:t>
            </w:r>
            <w:r>
              <w:rPr>
                <w:rFonts w:hint="eastAsia" w:ascii="宋体" w:hAnsi="宋体" w:cs="宋体"/>
                <w:color w:val="auto"/>
                <w:spacing w:val="20"/>
                <w:sz w:val="21"/>
                <w:szCs w:val="21"/>
                <w:highlight w:val="none"/>
              </w:rPr>
              <w:t>提供低速机辅机系统采购、安装、调试进度安排计划，投标人（如需要）详细列出安装时须招标人配合的要求（格式自拟）</w:t>
            </w:r>
            <w:r>
              <w:rPr>
                <w:rStyle w:val="48"/>
                <w:rFonts w:hint="default"/>
                <w:color w:val="auto"/>
                <w:sz w:val="21"/>
                <w:szCs w:val="21"/>
                <w:highlight w:val="none"/>
              </w:rPr>
              <w:t>等相关资料的，每提供一项得2分，最多6分；</w:t>
            </w:r>
          </w:p>
          <w:p>
            <w:pPr>
              <w:pStyle w:val="19"/>
              <w:spacing w:line="360" w:lineRule="auto"/>
              <w:jc w:val="left"/>
              <w:rPr>
                <w:rStyle w:val="48"/>
                <w:rFonts w:hint="default"/>
                <w:color w:val="auto"/>
                <w:sz w:val="21"/>
                <w:szCs w:val="21"/>
                <w:highlight w:val="none"/>
              </w:rPr>
            </w:pPr>
            <w:r>
              <w:rPr>
                <w:rStyle w:val="48"/>
                <w:rFonts w:hint="default"/>
                <w:color w:val="auto"/>
                <w:sz w:val="21"/>
                <w:szCs w:val="21"/>
                <w:highlight w:val="none"/>
              </w:rPr>
              <w:t>2、按要求对</w:t>
            </w:r>
            <w:r>
              <w:rPr>
                <w:rFonts w:hint="eastAsia" w:ascii="宋体" w:hAnsi="宋体" w:cs="宋体"/>
                <w:color w:val="auto"/>
                <w:spacing w:val="20"/>
                <w:sz w:val="21"/>
                <w:szCs w:val="21"/>
                <w:highlight w:val="none"/>
              </w:rPr>
              <w:t>项目总体实施技术方案</w:t>
            </w:r>
            <w:r>
              <w:rPr>
                <w:rStyle w:val="48"/>
                <w:rFonts w:hint="default"/>
                <w:color w:val="auto"/>
                <w:sz w:val="21"/>
                <w:szCs w:val="21"/>
                <w:highlight w:val="none"/>
              </w:rPr>
              <w:t>描述清晰，符合招标要求的，由合格到优分档加分，合格加0.5分，良加2分，优加4分，最多加4分。</w:t>
            </w:r>
          </w:p>
          <w:p>
            <w:pPr>
              <w:pStyle w:val="19"/>
              <w:spacing w:line="360" w:lineRule="auto"/>
              <w:jc w:val="left"/>
              <w:rPr>
                <w:rFonts w:ascii="宋体" w:hAnsi="宋体" w:cs="宋体"/>
                <w:color w:val="auto"/>
                <w:sz w:val="21"/>
                <w:szCs w:val="21"/>
                <w:highlight w:val="none"/>
              </w:rPr>
            </w:pPr>
            <w:r>
              <w:rPr>
                <w:rStyle w:val="48"/>
                <w:rFonts w:hint="default"/>
                <w:color w:val="auto"/>
                <w:sz w:val="21"/>
                <w:szCs w:val="21"/>
                <w:highlight w:val="none"/>
              </w:rPr>
              <w:t>3、</w:t>
            </w:r>
            <w:r>
              <w:rPr>
                <w:rFonts w:hint="eastAsia" w:ascii="宋体" w:hAnsi="宋体" w:cs="宋体"/>
                <w:color w:val="auto"/>
                <w:spacing w:val="20"/>
                <w:sz w:val="21"/>
                <w:szCs w:val="21"/>
                <w:highlight w:val="none"/>
              </w:rPr>
              <w:t>提供低速机辅机系统安装调试进度安排计划，项目实施进度计划的描述：包对括项目实施进度计划合理性以及工期保证措施、设备采购组织方案完整性和合理性以及质量、安全保障措施的针对性和可行性等方面</w:t>
            </w:r>
            <w:r>
              <w:rPr>
                <w:rStyle w:val="48"/>
                <w:rFonts w:hint="default"/>
                <w:color w:val="auto"/>
                <w:sz w:val="21"/>
                <w:szCs w:val="21"/>
                <w:highlight w:val="none"/>
              </w:rPr>
              <w:t>描述清晰的，符合招标要求的，由合格到优分档加分，合格加0.5分，良加2分，优加4分，最多加4分。</w:t>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auto"/>
              <w:ind w:firstLine="0"/>
              <w:jc w:val="left"/>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投标资料要求见</w:t>
            </w:r>
            <w:r>
              <w:rPr>
                <w:rStyle w:val="48"/>
                <w:rFonts w:hint="default"/>
                <w:color w:val="auto"/>
                <w:sz w:val="21"/>
                <w:szCs w:val="21"/>
                <w:highlight w:val="none"/>
              </w:rPr>
              <w:t>《招标公告》</w:t>
            </w:r>
            <w:r>
              <w:rPr>
                <w:rFonts w:hint="eastAsia" w:ascii="宋体" w:hAnsi="宋体" w:cs="宋体"/>
                <w:color w:val="auto"/>
                <w:spacing w:val="20"/>
                <w:sz w:val="21"/>
                <w:szCs w:val="21"/>
                <w:highlight w:val="none"/>
              </w:rPr>
              <w:t>十．投标须知，</w:t>
            </w:r>
          </w:p>
          <w:p>
            <w:pPr>
              <w:spacing w:line="360" w:lineRule="auto"/>
              <w:ind w:firstLine="0" w:firstLineChars="0"/>
              <w:rPr>
                <w:rFonts w:ascii="宋体" w:hAnsi="宋体" w:cs="宋体"/>
                <w:color w:val="auto"/>
                <w:spacing w:val="20"/>
                <w:sz w:val="21"/>
                <w:szCs w:val="21"/>
                <w:highlight w:val="none"/>
              </w:rPr>
            </w:pPr>
            <w:r>
              <w:rPr>
                <w:rFonts w:hint="eastAsia" w:ascii="宋体" w:hAnsi="宋体" w:cs="宋体"/>
                <w:b/>
                <w:bCs/>
                <w:color w:val="auto"/>
                <w:spacing w:val="20"/>
                <w:sz w:val="21"/>
                <w:szCs w:val="21"/>
                <w:highlight w:val="none"/>
              </w:rPr>
              <w:t>（三）投标文件内容还应包括：</w:t>
            </w:r>
          </w:p>
          <w:p>
            <w:pPr>
              <w:spacing w:line="360" w:lineRule="auto"/>
              <w:ind w:firstLine="199" w:firstLineChars="71"/>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1、提供项目总体实施技术方案，包括安装调试方案、项目组织及实施方案、项目施工计划、项目团队人员信息（</w:t>
            </w:r>
            <w:r>
              <w:rPr>
                <w:rFonts w:ascii="宋体" w:hAnsi="宋体" w:cs="宋体"/>
                <w:color w:val="auto"/>
                <w:spacing w:val="20"/>
                <w:sz w:val="21"/>
                <w:szCs w:val="21"/>
                <w:highlight w:val="none"/>
              </w:rPr>
              <w:t>项目</w:t>
            </w:r>
            <w:r>
              <w:rPr>
                <w:rFonts w:hint="eastAsia" w:ascii="宋体" w:hAnsi="宋体" w:cs="宋体"/>
                <w:color w:val="auto"/>
                <w:spacing w:val="20"/>
                <w:sz w:val="21"/>
                <w:szCs w:val="21"/>
                <w:highlight w:val="none"/>
              </w:rPr>
              <w:t>团队</w:t>
            </w:r>
            <w:r>
              <w:rPr>
                <w:rFonts w:ascii="宋体" w:hAnsi="宋体" w:cs="宋体"/>
                <w:color w:val="auto"/>
                <w:spacing w:val="20"/>
                <w:sz w:val="21"/>
                <w:szCs w:val="21"/>
                <w:highlight w:val="none"/>
              </w:rPr>
              <w:t>人员信息需要提供</w:t>
            </w:r>
            <w:r>
              <w:rPr>
                <w:rFonts w:hint="eastAsia" w:ascii="宋体" w:hAnsi="宋体" w:cs="宋体"/>
                <w:color w:val="auto"/>
                <w:spacing w:val="20"/>
                <w:sz w:val="21"/>
                <w:szCs w:val="21"/>
                <w:highlight w:val="none"/>
              </w:rPr>
              <w:t>参与本项目</w:t>
            </w:r>
            <w:r>
              <w:rPr>
                <w:rFonts w:ascii="宋体" w:hAnsi="宋体" w:cs="宋体"/>
                <w:color w:val="auto"/>
                <w:spacing w:val="20"/>
                <w:sz w:val="21"/>
                <w:szCs w:val="21"/>
                <w:highlight w:val="none"/>
              </w:rPr>
              <w:t>相关人员机电</w:t>
            </w:r>
            <w:r>
              <w:rPr>
                <w:rFonts w:hint="eastAsia" w:ascii="宋体" w:hAnsi="宋体" w:cs="宋体"/>
                <w:color w:val="auto"/>
                <w:spacing w:val="20"/>
                <w:sz w:val="21"/>
                <w:szCs w:val="21"/>
                <w:highlight w:val="none"/>
              </w:rPr>
              <w:t>、</w:t>
            </w:r>
            <w:r>
              <w:rPr>
                <w:rFonts w:ascii="宋体" w:hAnsi="宋体" w:cs="宋体"/>
                <w:color w:val="auto"/>
                <w:spacing w:val="20"/>
                <w:sz w:val="21"/>
                <w:szCs w:val="21"/>
                <w:highlight w:val="none"/>
              </w:rPr>
              <w:t>机械、电气、管路、液压等相关专业</w:t>
            </w:r>
            <w:r>
              <w:rPr>
                <w:rFonts w:hint="eastAsia" w:ascii="宋体" w:hAnsi="宋体" w:cs="宋体"/>
                <w:color w:val="auto"/>
                <w:spacing w:val="20"/>
                <w:sz w:val="21"/>
                <w:szCs w:val="21"/>
                <w:highlight w:val="none"/>
              </w:rPr>
              <w:t>的</w:t>
            </w:r>
            <w:r>
              <w:rPr>
                <w:rFonts w:ascii="宋体" w:hAnsi="宋体" w:cs="宋体"/>
                <w:color w:val="auto"/>
                <w:spacing w:val="20"/>
                <w:sz w:val="21"/>
                <w:szCs w:val="21"/>
                <w:highlight w:val="none"/>
              </w:rPr>
              <w:t>技术证书或职称证书，以及的简历和项目经验等</w:t>
            </w:r>
            <w:r>
              <w:rPr>
                <w:rFonts w:hint="eastAsia" w:ascii="宋体" w:hAnsi="宋体" w:cs="宋体"/>
                <w:color w:val="auto"/>
                <w:spacing w:val="20"/>
                <w:sz w:val="21"/>
                <w:szCs w:val="21"/>
                <w:highlight w:val="none"/>
              </w:rPr>
              <w:t>，</w:t>
            </w:r>
            <w:r>
              <w:rPr>
                <w:rFonts w:hint="eastAsia" w:ascii="宋体" w:hAnsi="宋体"/>
                <w:color w:val="auto"/>
                <w:sz w:val="21"/>
                <w:szCs w:val="21"/>
                <w:highlight w:val="none"/>
              </w:rPr>
              <w:t>工作经验以证书中载明的初始发证日期开始至今计算年限</w:t>
            </w:r>
            <w:r>
              <w:rPr>
                <w:rFonts w:ascii="宋体" w:hAnsi="宋体" w:cs="宋体"/>
                <w:color w:val="auto"/>
                <w:spacing w:val="20"/>
                <w:sz w:val="21"/>
                <w:szCs w:val="21"/>
                <w:highlight w:val="none"/>
              </w:rPr>
              <w:t>）</w:t>
            </w:r>
            <w:r>
              <w:rPr>
                <w:rFonts w:hint="eastAsia" w:ascii="宋体" w:hAnsi="宋体" w:cs="宋体"/>
                <w:color w:val="auto"/>
                <w:spacing w:val="20"/>
                <w:sz w:val="21"/>
                <w:szCs w:val="21"/>
                <w:highlight w:val="none"/>
              </w:rPr>
              <w:t>。</w:t>
            </w:r>
          </w:p>
          <w:p>
            <w:pPr>
              <w:spacing w:line="360" w:lineRule="auto"/>
              <w:ind w:firstLine="56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2、提供各系统详细的设备清单（含辅件材料）、配套土建和装修工程清单。</w:t>
            </w:r>
          </w:p>
          <w:p>
            <w:pPr>
              <w:spacing w:line="360" w:lineRule="auto"/>
              <w:ind w:firstLine="56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3、提供低速机辅机系统安装调试进度安排计划，投标人（如需要）详细列出安装时须招标人配合的要求（格式自拟）。项目实施进度计划的描述：包对括项目实施进度计划合理性以及工期保证措施、设备采购组织方案完整性和合理性以及质量、安全保障措施的针对性和可行性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投标人资格要求</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商务标</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rPr>
              <w:t>3</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jc w:val="left"/>
              <w:rPr>
                <w:rFonts w:ascii="宋体" w:hAnsi="宋体" w:cs="宋体"/>
                <w:color w:val="auto"/>
                <w:sz w:val="21"/>
                <w:szCs w:val="21"/>
                <w:highlight w:val="none"/>
              </w:rPr>
            </w:pPr>
            <w:r>
              <w:rPr>
                <w:rStyle w:val="48"/>
                <w:rFonts w:hint="default"/>
                <w:color w:val="auto"/>
                <w:sz w:val="21"/>
                <w:szCs w:val="21"/>
                <w:highlight w:val="none"/>
              </w:rPr>
              <w:t>1、按《招标公告》“</w:t>
            </w:r>
            <w:r>
              <w:rPr>
                <w:rFonts w:hint="eastAsia" w:ascii="宋体" w:hAnsi="宋体" w:cs="宋体"/>
                <w:color w:val="auto"/>
                <w:spacing w:val="20"/>
                <w:sz w:val="21"/>
                <w:szCs w:val="21"/>
                <w:highlight w:val="none"/>
              </w:rPr>
              <w:t>十</w:t>
            </w:r>
            <w:r>
              <w:rPr>
                <w:rStyle w:val="48"/>
                <w:rFonts w:hint="default"/>
                <w:color w:val="auto"/>
                <w:sz w:val="21"/>
                <w:szCs w:val="21"/>
                <w:highlight w:val="none"/>
              </w:rPr>
              <w:t>．投标须知（一）投标人资格要求1、具备的条件”要求 ”提供基本符合要求的文件，得3分；</w:t>
            </w:r>
            <w:r>
              <w:rPr>
                <w:rStyle w:val="48"/>
                <w:rFonts w:hint="default"/>
                <w:color w:val="auto"/>
                <w:sz w:val="21"/>
                <w:szCs w:val="21"/>
                <w:highlight w:val="none"/>
              </w:rPr>
              <w:br/>
            </w:r>
            <w:r>
              <w:rPr>
                <w:rStyle w:val="48"/>
                <w:rFonts w:hint="default"/>
                <w:color w:val="auto"/>
                <w:sz w:val="21"/>
                <w:szCs w:val="21"/>
                <w:highlight w:val="none"/>
              </w:rPr>
              <w:t xml:space="preserve">    2、上述涉及的“文件”，不齐全的、不符合要求的，</w:t>
            </w:r>
            <w:r>
              <w:rPr>
                <w:rStyle w:val="45"/>
                <w:rFonts w:hint="default"/>
                <w:color w:val="auto"/>
                <w:sz w:val="21"/>
                <w:szCs w:val="21"/>
                <w:highlight w:val="none"/>
              </w:rPr>
              <w:t>商务标各项得0分。</w:t>
            </w:r>
          </w:p>
        </w:tc>
        <w:tc>
          <w:tcPr>
            <w:tcW w:w="38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jc w:val="left"/>
              <w:rPr>
                <w:rFonts w:ascii="宋体" w:hAnsi="宋体" w:cs="宋体"/>
                <w:color w:val="auto"/>
                <w:spacing w:val="20"/>
                <w:sz w:val="21"/>
                <w:szCs w:val="21"/>
                <w:highlight w:val="none"/>
              </w:rPr>
            </w:pPr>
            <w:r>
              <w:rPr>
                <w:rStyle w:val="48"/>
                <w:rFonts w:hint="default"/>
                <w:color w:val="auto"/>
                <w:sz w:val="21"/>
                <w:szCs w:val="21"/>
                <w:highlight w:val="none"/>
              </w:rPr>
              <w:t>按《招标公告》“</w:t>
            </w:r>
            <w:r>
              <w:rPr>
                <w:rFonts w:hint="eastAsia" w:ascii="宋体" w:hAnsi="宋体" w:cs="宋体"/>
                <w:color w:val="auto"/>
                <w:spacing w:val="20"/>
                <w:sz w:val="21"/>
                <w:szCs w:val="21"/>
                <w:highlight w:val="none"/>
              </w:rPr>
              <w:t>十</w:t>
            </w:r>
            <w:r>
              <w:rPr>
                <w:rStyle w:val="48"/>
                <w:rFonts w:hint="default"/>
                <w:color w:val="auto"/>
                <w:sz w:val="21"/>
                <w:szCs w:val="21"/>
                <w:highlight w:val="none"/>
              </w:rPr>
              <w:t>．投标须知，需</w:t>
            </w:r>
            <w:r>
              <w:rPr>
                <w:rFonts w:hint="eastAsia" w:ascii="宋体" w:hAnsi="宋体" w:cs="宋体"/>
                <w:b/>
                <w:bCs/>
                <w:color w:val="auto"/>
                <w:spacing w:val="20"/>
                <w:sz w:val="21"/>
                <w:szCs w:val="21"/>
                <w:highlight w:val="none"/>
              </w:rPr>
              <w:t>提供的资料包括：</w:t>
            </w:r>
          </w:p>
          <w:p>
            <w:pPr>
              <w:ind w:firstLine="0" w:firstLineChars="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 xml:space="preserve">   1、投标人必须是在中华人民共和国境内注册并合法运作的独立法人机构，提供投标人的营业执照副本复印件，加盖投标单位公章（原件备查）。</w:t>
            </w:r>
          </w:p>
          <w:p>
            <w:pPr>
              <w:spacing w:line="360" w:lineRule="auto"/>
              <w:ind w:firstLine="0" w:firstLineChars="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 xml:space="preserve">   2、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pPr>
              <w:spacing w:line="360" w:lineRule="auto"/>
              <w:ind w:firstLine="0" w:firstLineChars="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 xml:space="preserve">   3、具有良好的商业信誉和健全的财务会计制度：提供以下两种形式之一的财务状况报告： </w:t>
            </w:r>
          </w:p>
          <w:p>
            <w:pPr>
              <w:spacing w:line="360" w:lineRule="auto"/>
              <w:ind w:firstLine="56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3.1、经会计师事务所审计的2021-2023年度财务报告；</w:t>
            </w:r>
          </w:p>
          <w:p>
            <w:pPr>
              <w:spacing w:line="360" w:lineRule="auto"/>
              <w:ind w:firstLine="56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3.2、基本开户银行出具的资信证明。如供应商新成立的，则提供成立至今的月或季度财务报表复印件。</w:t>
            </w:r>
          </w:p>
          <w:p>
            <w:pPr>
              <w:spacing w:line="360" w:lineRule="auto"/>
              <w:ind w:firstLine="56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4、履行合同所涉及到低速机辅机系统设备安装施工、售后等相关专业技术能力、经验的服务团队人员，提供相关人员的证明材料复印件（格式自拟）。</w:t>
            </w:r>
          </w:p>
          <w:p>
            <w:pPr>
              <w:spacing w:line="360" w:lineRule="auto"/>
              <w:ind w:firstLine="56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5、参加采购活动前3年内，在经营活动中没有重大违法记录：提供《投标人资格声明函》。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ind w:firstLine="480"/>
              <w:rPr>
                <w:rFonts w:ascii="宋体" w:hAnsi="宋体" w:cs="宋体"/>
                <w:b/>
                <w:bCs/>
                <w:color w:val="auto"/>
                <w:spacing w:val="20"/>
                <w:sz w:val="21"/>
                <w:szCs w:val="21"/>
                <w:highlight w:val="none"/>
              </w:rPr>
            </w:pPr>
            <w:r>
              <w:rPr>
                <w:rFonts w:hint="eastAsia" w:ascii="宋体" w:hAnsi="宋体" w:cs="宋体"/>
                <w:color w:val="auto"/>
                <w:sz w:val="21"/>
                <w:szCs w:val="21"/>
                <w:highlight w:val="none"/>
              </w:rPr>
              <w:t>6、</w:t>
            </w:r>
            <w:r>
              <w:rPr>
                <w:rFonts w:ascii="宋体" w:hAnsi="宋体" w:cs="宋体"/>
                <w:color w:val="auto"/>
                <w:sz w:val="21"/>
                <w:szCs w:val="21"/>
                <w:highlight w:val="none"/>
              </w:rPr>
              <w:t>投标申请人出具《投标申请人声明》</w:t>
            </w:r>
            <w:r>
              <w:rPr>
                <w:rFonts w:hint="eastAsia" w:ascii="宋体" w:hAnsi="宋体" w:cs="宋体"/>
                <w:color w:val="auto"/>
                <w:sz w:val="21"/>
                <w:szCs w:val="21"/>
                <w:highlight w:val="none"/>
              </w:rPr>
              <w:t>（模板见附件2）</w:t>
            </w:r>
            <w:r>
              <w:rPr>
                <w:rFonts w:ascii="宋体" w:hAnsi="宋体" w:cs="宋体"/>
                <w:color w:val="auto"/>
                <w:sz w:val="21"/>
                <w:szCs w:val="21"/>
                <w:highlight w:val="none"/>
              </w:rPr>
              <w:t>。</w:t>
            </w:r>
          </w:p>
          <w:p>
            <w:pPr>
              <w:spacing w:line="360" w:lineRule="auto"/>
              <w:ind w:firstLine="560"/>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7、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pPr>
              <w:spacing w:line="360" w:lineRule="auto"/>
              <w:ind w:firstLine="0" w:firstLineChars="0"/>
              <w:rPr>
                <w:rFonts w:ascii="宋体" w:hAnsi="宋体" w:cs="宋体"/>
                <w:color w:val="auto"/>
                <w:spacing w:val="20"/>
                <w:sz w:val="21"/>
                <w:szCs w:val="21"/>
                <w:highlight w:val="none"/>
              </w:rPr>
            </w:pPr>
            <w:r>
              <w:rPr>
                <w:rFonts w:hint="eastAsia" w:ascii="宋体" w:hAnsi="宋体" w:cs="宋体"/>
                <w:b/>
                <w:bCs/>
                <w:color w:val="auto"/>
                <w:spacing w:val="20"/>
                <w:sz w:val="21"/>
                <w:szCs w:val="21"/>
                <w:highlight w:val="none"/>
              </w:rPr>
              <w:t xml:space="preserve">   8、资料要求：投标单位需提供以下资料（所有资料均需盖投标单位公章）：</w:t>
            </w:r>
          </w:p>
          <w:p>
            <w:pPr>
              <w:spacing w:line="360" w:lineRule="auto"/>
              <w:ind w:firstLine="0" w:firstLineChars="0"/>
              <w:rPr>
                <w:rFonts w:ascii="宋体" w:hAnsi="宋体" w:cs="宋体"/>
                <w:b/>
                <w:bCs/>
                <w:color w:val="auto"/>
                <w:spacing w:val="20"/>
                <w:sz w:val="21"/>
                <w:szCs w:val="21"/>
                <w:highlight w:val="none"/>
              </w:rPr>
            </w:pPr>
            <w:r>
              <w:rPr>
                <w:rFonts w:hint="eastAsia" w:ascii="宋体" w:hAnsi="宋体" w:cs="宋体"/>
                <w:b/>
                <w:bCs/>
                <w:color w:val="auto"/>
                <w:spacing w:val="20"/>
                <w:sz w:val="21"/>
                <w:szCs w:val="21"/>
                <w:highlight w:val="none"/>
              </w:rPr>
              <w:t xml:space="preserve">   8.1、营业执照副本和相应生产制造资质证书复印件（均需盖投标单位公章，原件备查）；</w:t>
            </w:r>
          </w:p>
          <w:p>
            <w:pPr>
              <w:spacing w:line="360" w:lineRule="auto"/>
              <w:ind w:firstLine="0" w:firstLineChars="0"/>
              <w:rPr>
                <w:rFonts w:ascii="宋体" w:hAnsi="宋体" w:cs="宋体"/>
                <w:b/>
                <w:bCs/>
                <w:color w:val="auto"/>
                <w:sz w:val="21"/>
                <w:szCs w:val="21"/>
                <w:highlight w:val="none"/>
              </w:rPr>
            </w:pPr>
            <w:r>
              <w:rPr>
                <w:rFonts w:hint="eastAsia" w:ascii="宋体" w:hAnsi="宋体" w:cs="宋体"/>
                <w:b/>
                <w:bCs/>
                <w:color w:val="auto"/>
                <w:spacing w:val="20"/>
                <w:sz w:val="21"/>
                <w:szCs w:val="21"/>
                <w:highlight w:val="none"/>
              </w:rPr>
              <w:t xml:space="preserve">   8.2、法定代表人证明书和委托授权书原件；</w:t>
            </w:r>
            <w:r>
              <w:rPr>
                <w:rFonts w:hint="eastAsia" w:ascii="宋体" w:hAnsi="宋体" w:cs="宋体"/>
                <w:b/>
                <w:bCs/>
                <w:color w:val="auto"/>
                <w:sz w:val="21"/>
                <w:szCs w:val="21"/>
                <w:highlight w:val="none"/>
              </w:rPr>
              <w:t>投标函签字盖章：有法定代表人（单位负责人）或其委托代理人签字加盖单位章。由法定代表人（单位负责人）签字的，应附法定代表人（单位负责人）身份证明；由代理人签字的，应附其投标单位授权委托书及身份证明。</w:t>
            </w:r>
          </w:p>
          <w:p>
            <w:pPr>
              <w:spacing w:line="360" w:lineRule="auto"/>
              <w:ind w:firstLine="0" w:firstLineChars="0"/>
              <w:rPr>
                <w:rFonts w:ascii="宋体" w:hAnsi="宋体" w:cs="宋体"/>
                <w:b/>
                <w:bCs/>
                <w:color w:val="auto"/>
                <w:sz w:val="21"/>
                <w:szCs w:val="21"/>
                <w:highlight w:val="none"/>
              </w:rPr>
            </w:pPr>
            <w:r>
              <w:rPr>
                <w:rFonts w:hint="eastAsia" w:ascii="宋体" w:hAnsi="宋体" w:cs="宋体"/>
                <w:color w:val="auto"/>
                <w:spacing w:val="20"/>
                <w:sz w:val="21"/>
                <w:szCs w:val="21"/>
                <w:highlight w:val="none"/>
              </w:rPr>
              <w:t xml:space="preserve">   9、投标书纸质版份数为一正本四副本（另外，投标人须提供投标文件正本电子版资料一份）。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业绩表现</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Fonts w:ascii="宋体" w:hAnsi="宋体" w:cs="宋体"/>
                <w:color w:val="auto"/>
                <w:sz w:val="21"/>
                <w:szCs w:val="21"/>
                <w:highlight w:val="none"/>
              </w:rPr>
            </w:pPr>
            <w:r>
              <w:rPr>
                <w:rStyle w:val="45"/>
                <w:rFonts w:hint="default"/>
                <w:color w:val="auto"/>
                <w:sz w:val="21"/>
                <w:szCs w:val="21"/>
                <w:highlight w:val="none"/>
              </w:rPr>
              <w:t>最近20年以来低速机辅机系统工艺设备采购和安装调试项目</w:t>
            </w:r>
            <w:r>
              <w:rPr>
                <w:rStyle w:val="48"/>
                <w:rFonts w:hint="default"/>
                <w:color w:val="auto"/>
                <w:sz w:val="21"/>
                <w:szCs w:val="21"/>
                <w:highlight w:val="none"/>
              </w:rPr>
              <w:t>实际业绩的案例，每项加1分</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Style w:val="48"/>
                <w:rFonts w:hint="default"/>
                <w:color w:val="auto"/>
                <w:sz w:val="21"/>
                <w:szCs w:val="21"/>
                <w:highlight w:val="none"/>
              </w:rPr>
            </w:pPr>
            <w:r>
              <w:rPr>
                <w:rStyle w:val="48"/>
                <w:rFonts w:hint="default"/>
                <w:color w:val="auto"/>
                <w:sz w:val="21"/>
                <w:szCs w:val="21"/>
                <w:highlight w:val="none"/>
              </w:rPr>
              <w:t>业绩须提供合同复印件或验收证明复印件（原件备查），未提供证明材料的业绩或未验收的项目不予认可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交货期</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8</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Style w:val="45"/>
                <w:rFonts w:hint="default"/>
                <w:color w:val="auto"/>
                <w:sz w:val="21"/>
                <w:szCs w:val="21"/>
                <w:highlight w:val="none"/>
              </w:rPr>
            </w:pPr>
            <w:r>
              <w:rPr>
                <w:rStyle w:val="48"/>
                <w:rFonts w:hint="default"/>
                <w:color w:val="auto"/>
                <w:sz w:val="21"/>
                <w:szCs w:val="21"/>
                <w:highlight w:val="none"/>
              </w:rPr>
              <w:t>1、第一套系统交货期超过</w:t>
            </w:r>
            <w:r>
              <w:rPr>
                <w:rStyle w:val="45"/>
                <w:rFonts w:hint="default"/>
                <w:color w:val="auto"/>
                <w:sz w:val="21"/>
                <w:szCs w:val="21"/>
                <w:highlight w:val="none"/>
              </w:rPr>
              <w:t>4.5月，</w:t>
            </w:r>
            <w:r>
              <w:rPr>
                <w:rStyle w:val="48"/>
                <w:rFonts w:hint="default"/>
                <w:color w:val="auto"/>
                <w:sz w:val="21"/>
                <w:szCs w:val="21"/>
                <w:highlight w:val="none"/>
              </w:rPr>
              <w:t>第二套系统交货期超过</w:t>
            </w:r>
            <w:r>
              <w:rPr>
                <w:rStyle w:val="45"/>
                <w:rFonts w:hint="default"/>
                <w:color w:val="auto"/>
                <w:sz w:val="21"/>
                <w:szCs w:val="21"/>
                <w:highlight w:val="none"/>
              </w:rPr>
              <w:t>6月，得0分；</w:t>
            </w:r>
            <w:r>
              <w:rPr>
                <w:rStyle w:val="45"/>
                <w:rFonts w:hint="default"/>
                <w:color w:val="auto"/>
                <w:sz w:val="21"/>
                <w:szCs w:val="21"/>
                <w:highlight w:val="none"/>
              </w:rPr>
              <w:br/>
            </w:r>
            <w:r>
              <w:rPr>
                <w:rStyle w:val="45"/>
                <w:rFonts w:hint="default"/>
                <w:color w:val="auto"/>
                <w:sz w:val="21"/>
                <w:szCs w:val="21"/>
                <w:highlight w:val="none"/>
              </w:rPr>
              <w:t xml:space="preserve">    2、</w:t>
            </w:r>
            <w:r>
              <w:rPr>
                <w:rStyle w:val="48"/>
                <w:rFonts w:hint="default"/>
                <w:color w:val="auto"/>
                <w:sz w:val="21"/>
                <w:szCs w:val="21"/>
                <w:highlight w:val="none"/>
              </w:rPr>
              <w:t>第一套系统交货期为不超过</w:t>
            </w:r>
            <w:r>
              <w:rPr>
                <w:rStyle w:val="45"/>
                <w:rFonts w:hint="default"/>
                <w:color w:val="auto"/>
                <w:sz w:val="21"/>
                <w:szCs w:val="21"/>
                <w:highlight w:val="none"/>
              </w:rPr>
              <w:t>4.5月，且</w:t>
            </w:r>
            <w:r>
              <w:rPr>
                <w:rStyle w:val="48"/>
                <w:rFonts w:hint="default"/>
                <w:color w:val="auto"/>
                <w:sz w:val="21"/>
                <w:szCs w:val="21"/>
                <w:highlight w:val="none"/>
              </w:rPr>
              <w:t>第二套系统交货期为不超过</w:t>
            </w:r>
            <w:r>
              <w:rPr>
                <w:rStyle w:val="45"/>
                <w:rFonts w:hint="default"/>
                <w:color w:val="auto"/>
                <w:sz w:val="21"/>
                <w:szCs w:val="21"/>
                <w:highlight w:val="none"/>
              </w:rPr>
              <w:t>6月，得5分。</w:t>
            </w:r>
          </w:p>
          <w:p>
            <w:pPr>
              <w:widowControl/>
              <w:ind w:firstLine="480"/>
              <w:jc w:val="left"/>
              <w:textAlignment w:val="center"/>
              <w:rPr>
                <w:rFonts w:ascii="宋体" w:hAnsi="宋体" w:cs="宋体"/>
                <w:color w:val="auto"/>
                <w:sz w:val="21"/>
                <w:szCs w:val="21"/>
                <w:highlight w:val="none"/>
              </w:rPr>
            </w:pPr>
            <w:r>
              <w:rPr>
                <w:rStyle w:val="45"/>
                <w:rFonts w:hint="default"/>
                <w:color w:val="auto"/>
                <w:sz w:val="21"/>
                <w:szCs w:val="21"/>
                <w:highlight w:val="none"/>
              </w:rPr>
              <w:t>3、</w:t>
            </w:r>
            <w:r>
              <w:rPr>
                <w:rStyle w:val="48"/>
                <w:rFonts w:hint="default"/>
                <w:color w:val="auto"/>
                <w:sz w:val="21"/>
                <w:szCs w:val="21"/>
                <w:highlight w:val="none"/>
              </w:rPr>
              <w:t>第一套系统</w:t>
            </w:r>
            <w:r>
              <w:rPr>
                <w:rStyle w:val="45"/>
                <w:rFonts w:hint="default"/>
                <w:color w:val="auto"/>
                <w:sz w:val="21"/>
                <w:szCs w:val="21"/>
                <w:highlight w:val="none"/>
              </w:rPr>
              <w:t>交货期每提早一周，加1分，最多加3分。</w:t>
            </w:r>
          </w:p>
        </w:tc>
        <w:tc>
          <w:tcPr>
            <w:tcW w:w="38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交货期要求：</w:t>
            </w:r>
            <w:r>
              <w:rPr>
                <w:rFonts w:hint="eastAsia" w:ascii="宋体" w:hAnsi="宋体" w:cs="宋体"/>
                <w:color w:val="auto"/>
                <w:spacing w:val="20"/>
                <w:sz w:val="21"/>
                <w:szCs w:val="21"/>
                <w:highlight w:val="none"/>
              </w:rPr>
              <w:t>自合同生效之日起的4.5个月内，中标人需要完成一套低速机辅机系统工艺设备的采购和安装调试、人员培训等工作，并交付给招标方正常使用。另一套低速机辅机系统允许自合同生效之日起6个月内完成。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651" w:type="dxa"/>
            <w:tcBorders>
              <w:top w:val="single" w:color="000000" w:sz="4" w:space="0"/>
              <w:left w:val="single" w:color="000000" w:sz="4" w:space="0"/>
              <w:bottom w:val="single" w:color="000000" w:sz="4" w:space="0"/>
              <w:right w:val="single" w:color="000000" w:sz="4" w:space="0"/>
            </w:tcBorders>
            <w:vAlign w:val="center"/>
          </w:tcPr>
          <w:p>
            <w:pPr>
              <w:ind w:firstLine="0" w:firstLineChars="0"/>
              <w:rPr>
                <w:rFonts w:ascii="宋体" w:hAnsi="宋体" w:cs="宋体"/>
                <w:color w:val="auto"/>
                <w:sz w:val="21"/>
                <w:szCs w:val="21"/>
                <w:highlight w:val="none"/>
              </w:rPr>
            </w:pPr>
            <w:r>
              <w:rPr>
                <w:rFonts w:hint="eastAsia" w:ascii="宋体" w:hAnsi="宋体" w:cs="宋体"/>
                <w:color w:val="auto"/>
                <w:kern w:val="0"/>
                <w:sz w:val="21"/>
                <w:szCs w:val="21"/>
                <w:highlight w:val="none"/>
              </w:rPr>
              <w:t>履约能力</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rPr>
              <w:t>2</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评委会按照最近3年各投标公司的经营收入、同类项目收入、利润、是否上市等综合评估，由差到最优分档得分，差得0分，较优得1分，最优的得2分。</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公司近3个年度的财务数据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9</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售后服务、质量保证</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0"/>
              </w:numPr>
              <w:ind w:firstLine="480"/>
              <w:jc w:val="left"/>
              <w:textAlignment w:val="center"/>
              <w:rPr>
                <w:rStyle w:val="48"/>
                <w:rFonts w:hint="default"/>
                <w:color w:val="auto"/>
                <w:sz w:val="21"/>
                <w:szCs w:val="21"/>
                <w:highlight w:val="none"/>
              </w:rPr>
            </w:pPr>
            <w:r>
              <w:rPr>
                <w:rStyle w:val="48"/>
                <w:rFonts w:hint="default"/>
                <w:color w:val="auto"/>
                <w:sz w:val="21"/>
                <w:szCs w:val="21"/>
                <w:highlight w:val="none"/>
              </w:rPr>
              <w:t xml:space="preserve">所有售后服务人员、质量保证承诺、质量保证要求响应情况均为“符合”,且提供了本项目相关技术团队、售后服务人员资料的，得1分； </w:t>
            </w:r>
          </w:p>
          <w:p>
            <w:pPr>
              <w:widowControl/>
              <w:numPr>
                <w:ilvl w:val="0"/>
                <w:numId w:val="10"/>
              </w:numPr>
              <w:ind w:firstLine="480"/>
              <w:jc w:val="left"/>
              <w:textAlignment w:val="center"/>
              <w:rPr>
                <w:rFonts w:ascii="宋体" w:hAnsi="宋体" w:cs="宋体"/>
                <w:color w:val="auto"/>
                <w:sz w:val="21"/>
                <w:szCs w:val="21"/>
                <w:highlight w:val="none"/>
              </w:rPr>
            </w:pPr>
            <w:r>
              <w:rPr>
                <w:rStyle w:val="48"/>
                <w:rFonts w:hint="default"/>
                <w:color w:val="auto"/>
                <w:sz w:val="21"/>
                <w:szCs w:val="21"/>
                <w:highlight w:val="none"/>
              </w:rPr>
              <w:t>质保期的基准时间为1年。在基准时间的基础上，质保期每增加1年，加1分。最多加2分。</w:t>
            </w:r>
          </w:p>
          <w:p>
            <w:pPr>
              <w:widowControl/>
              <w:numPr>
                <w:ilvl w:val="0"/>
                <w:numId w:val="10"/>
              </w:numPr>
              <w:ind w:firstLine="480"/>
              <w:jc w:val="left"/>
              <w:textAlignment w:val="center"/>
              <w:rPr>
                <w:rFonts w:ascii="宋体" w:hAnsi="宋体" w:cs="宋体"/>
                <w:color w:val="auto"/>
                <w:sz w:val="21"/>
                <w:szCs w:val="21"/>
                <w:highlight w:val="none"/>
              </w:rPr>
            </w:pPr>
            <w:r>
              <w:rPr>
                <w:rStyle w:val="48"/>
                <w:rFonts w:hint="default"/>
                <w:color w:val="auto"/>
                <w:sz w:val="21"/>
                <w:szCs w:val="21"/>
                <w:highlight w:val="none"/>
              </w:rPr>
              <w:t>售后服务人员、质量保证承诺、质量保证要求响应</w:t>
            </w:r>
            <w:r>
              <w:rPr>
                <w:rFonts w:hint="eastAsia" w:ascii="宋体" w:hAnsi="宋体" w:cs="宋体"/>
                <w:color w:val="auto"/>
                <w:kern w:val="0"/>
                <w:sz w:val="21"/>
                <w:szCs w:val="21"/>
                <w:highlight w:val="none"/>
              </w:rPr>
              <w:t>由良到最优按评估分档加分，良得0.5分，较优得1分，最优的得2分。</w:t>
            </w:r>
            <w:r>
              <w:rPr>
                <w:rStyle w:val="48"/>
                <w:rFonts w:hint="default"/>
                <w:color w:val="auto"/>
                <w:sz w:val="21"/>
                <w:szCs w:val="21"/>
                <w:highlight w:val="none"/>
              </w:rPr>
              <w:t>最多加2分。</w:t>
            </w:r>
            <w:r>
              <w:rPr>
                <w:rStyle w:val="48"/>
                <w:rFonts w:hint="default"/>
                <w:color w:val="auto"/>
                <w:sz w:val="21"/>
                <w:szCs w:val="21"/>
                <w:highlight w:val="none"/>
              </w:rPr>
              <w:br/>
            </w:r>
            <w:r>
              <w:rPr>
                <w:rStyle w:val="48"/>
                <w:rFonts w:hint="default"/>
                <w:color w:val="auto"/>
                <w:sz w:val="21"/>
                <w:szCs w:val="21"/>
                <w:highlight w:val="none"/>
              </w:rPr>
              <w:t xml:space="preserve">    4、售后服务人员、质量保证承诺、质量保证要求响应</w:t>
            </w:r>
            <w:r>
              <w:rPr>
                <w:rStyle w:val="45"/>
                <w:rFonts w:hint="default"/>
                <w:color w:val="auto"/>
                <w:sz w:val="21"/>
                <w:szCs w:val="21"/>
                <w:highlight w:val="none"/>
              </w:rPr>
              <w:t>每一项为“偏离”的扣1分；严重偏离的此项为0分。</w:t>
            </w:r>
          </w:p>
        </w:tc>
        <w:tc>
          <w:tcPr>
            <w:tcW w:w="3827"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1"/>
                <w:szCs w:val="21"/>
                <w:highlight w:val="none"/>
              </w:rPr>
            </w:pPr>
            <w:r>
              <w:rPr>
                <w:rFonts w:hint="eastAsia" w:ascii="宋体" w:hAnsi="宋体" w:cs="宋体"/>
                <w:color w:val="auto"/>
                <w:sz w:val="21"/>
                <w:szCs w:val="21"/>
                <w:highlight w:val="none"/>
              </w:rPr>
              <w:t>见《投标书》表3《项目售后服务、质保要求及响应情况》</w:t>
            </w:r>
          </w:p>
        </w:tc>
      </w:tr>
    </w:tbl>
    <w:p>
      <w:pPr>
        <w:adjustRightInd w:val="0"/>
        <w:snapToGrid w:val="0"/>
        <w:spacing w:line="360" w:lineRule="auto"/>
        <w:ind w:firstLine="0" w:firstLineChars="0"/>
        <w:rPr>
          <w:rFonts w:ascii="宋体" w:hAnsi="宋体"/>
          <w:color w:val="auto"/>
          <w:sz w:val="24"/>
          <w:highlight w:val="none"/>
        </w:rPr>
      </w:pPr>
    </w:p>
    <w:p>
      <w:pPr>
        <w:adjustRightInd w:val="0"/>
        <w:snapToGrid w:val="0"/>
        <w:spacing w:line="360" w:lineRule="auto"/>
        <w:ind w:firstLine="480"/>
        <w:rPr>
          <w:color w:val="auto"/>
          <w:sz w:val="24"/>
          <w:highlight w:val="none"/>
        </w:rPr>
      </w:pPr>
      <w:r>
        <w:rPr>
          <w:rFonts w:hint="eastAsia" w:ascii="宋体" w:hAnsi="宋体"/>
          <w:color w:val="auto"/>
          <w:sz w:val="24"/>
          <w:highlight w:val="none"/>
        </w:rPr>
        <w:t>4、总分计算</w:t>
      </w:r>
      <w:r>
        <w:rPr>
          <w:rFonts w:ascii="宋体" w:hAnsi="宋体"/>
          <w:color w:val="auto"/>
          <w:sz w:val="24"/>
          <w:highlight w:val="none"/>
        </w:rPr>
        <w:t>由</w:t>
      </w:r>
      <w:r>
        <w:rPr>
          <w:rFonts w:hint="eastAsia" w:ascii="宋体" w:hAnsi="宋体"/>
          <w:color w:val="auto"/>
          <w:sz w:val="24"/>
          <w:highlight w:val="none"/>
        </w:rPr>
        <w:t>评标委员会成员</w:t>
      </w:r>
      <w:r>
        <w:rPr>
          <w:rFonts w:ascii="宋体" w:hAnsi="宋体"/>
          <w:color w:val="auto"/>
          <w:sz w:val="24"/>
          <w:highlight w:val="none"/>
        </w:rPr>
        <w:t>对每一份</w:t>
      </w:r>
      <w:r>
        <w:rPr>
          <w:rFonts w:hint="eastAsia" w:ascii="宋体" w:hAnsi="宋体"/>
          <w:color w:val="auto"/>
          <w:sz w:val="24"/>
          <w:highlight w:val="none"/>
        </w:rPr>
        <w:t>投标文件进行独立</w:t>
      </w:r>
      <w:r>
        <w:rPr>
          <w:rFonts w:ascii="宋体" w:hAnsi="宋体"/>
          <w:color w:val="auto"/>
          <w:sz w:val="24"/>
          <w:highlight w:val="none"/>
        </w:rPr>
        <w:t>评分，然后</w:t>
      </w:r>
      <w:r>
        <w:rPr>
          <w:rFonts w:hint="eastAsia" w:ascii="宋体" w:hAnsi="宋体"/>
          <w:color w:val="auto"/>
          <w:sz w:val="24"/>
          <w:highlight w:val="none"/>
        </w:rPr>
        <w:t>取</w:t>
      </w:r>
      <w:r>
        <w:rPr>
          <w:rFonts w:ascii="宋体" w:hAnsi="宋体"/>
          <w:color w:val="auto"/>
          <w:sz w:val="24"/>
          <w:highlight w:val="none"/>
        </w:rPr>
        <w:t>算术平均</w:t>
      </w:r>
      <w:r>
        <w:rPr>
          <w:rFonts w:hint="eastAsia" w:ascii="宋体" w:hAnsi="宋体"/>
          <w:color w:val="auto"/>
          <w:sz w:val="24"/>
          <w:highlight w:val="none"/>
        </w:rPr>
        <w:t>值（保留小数点两位）。计算每个投标人的实际得分（投标报价得分+商务部分得分+技术部分得分），并按得分高低排出名次</w:t>
      </w:r>
      <w:r>
        <w:rPr>
          <w:rFonts w:ascii="宋体" w:hAnsi="宋体"/>
          <w:color w:val="auto"/>
          <w:sz w:val="24"/>
          <w:highlight w:val="none"/>
        </w:rPr>
        <w:t>。</w:t>
      </w:r>
      <w:r>
        <w:rPr>
          <w:rFonts w:hint="eastAsia"/>
          <w:color w:val="auto"/>
          <w:sz w:val="24"/>
          <w:highlight w:val="none"/>
        </w:rPr>
        <w:t>最终</w:t>
      </w:r>
      <w:r>
        <w:rPr>
          <w:color w:val="auto"/>
          <w:sz w:val="24"/>
          <w:highlight w:val="none"/>
        </w:rPr>
        <w:t>推荐不超过</w:t>
      </w:r>
      <w:r>
        <w:rPr>
          <w:rFonts w:hint="eastAsia"/>
          <w:color w:val="auto"/>
          <w:sz w:val="24"/>
          <w:highlight w:val="none"/>
        </w:rPr>
        <w:t>2</w:t>
      </w:r>
      <w:r>
        <w:rPr>
          <w:color w:val="auto"/>
          <w:sz w:val="24"/>
          <w:highlight w:val="none"/>
        </w:rPr>
        <w:t>名中标候选人；招标人将根据排序结果等选择确定中标人。</w:t>
      </w:r>
    </w:p>
    <w:p>
      <w:pPr>
        <w:spacing w:line="360" w:lineRule="auto"/>
        <w:ind w:firstLine="0" w:firstLineChars="0"/>
        <w:rPr>
          <w:rFonts w:ascii="宋体" w:hAnsi="宋体" w:cs="宋体"/>
          <w:color w:val="auto"/>
          <w:sz w:val="24"/>
          <w:szCs w:val="24"/>
          <w:highlight w:val="none"/>
        </w:rPr>
      </w:pPr>
      <w:r>
        <w:rPr>
          <w:rFonts w:ascii="Calibri" w:hAnsi="Calibri" w:eastAsia="宋体" w:cs="Times New Roman"/>
          <w:color w:val="auto"/>
          <w:kern w:val="2"/>
          <w:sz w:val="24"/>
          <w:szCs w:val="24"/>
          <w:highlight w:val="none"/>
          <w:lang w:val="en-US" w:eastAsia="zh-CN" w:bidi="ar-SA"/>
        </w:rPr>
        <w:pict>
          <v:shape id="图片 6" o:spid="_x0000_s1027" type="#_x0000_t75" style="position:absolute;left:0;margin-left:223.35pt;margin-top:2.85pt;height:26.15pt;width:57.5pt;mso-wrap-distance-bottom:0pt;mso-wrap-distance-left:9pt;mso-wrap-distance-right:9pt;mso-wrap-distance-top:0pt;rotation:0f;z-index:251658240;" o:ole="f" fillcolor="#FFFFFF" filled="f" o:preferrelative="t" stroked="f" coordorigin="0,0" coordsize="21600,21600">
            <v:fill on="f" color2="#FFFFFF" focus="0%"/>
            <v:imagedata gain="327680f" blacklevel="0f" gamma="0" o:title="" r:id="rId11"/>
            <o:lock v:ext="edit" position="f" selection="f" grouping="f" rotation="f" cropping="f" text="f" aspectratio="t"/>
            <w10:wrap type="square"/>
          </v:shape>
        </w:pict>
      </w:r>
      <w:r>
        <w:rPr>
          <w:rFonts w:hint="eastAsia" w:ascii="宋体" w:hAnsi="宋体" w:cs="宋体"/>
          <w:color w:val="auto"/>
          <w:sz w:val="24"/>
          <w:szCs w:val="24"/>
          <w:highlight w:val="none"/>
        </w:rPr>
        <w:t xml:space="preserve">    本办法由招标发起部门工艺部提出；</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本办法由评委会审议；</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本办法由评委会组长审批。</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本办法由公司纪委全程监督执行。   </w:t>
      </w:r>
    </w:p>
    <w:p>
      <w:pPr>
        <w:spacing w:line="360" w:lineRule="auto"/>
        <w:ind w:firstLine="480"/>
        <w:rPr>
          <w:rFonts w:ascii="宋体" w:hAnsi="宋体" w:cs="宋体"/>
          <w:color w:val="auto"/>
          <w:sz w:val="24"/>
          <w:szCs w:val="24"/>
          <w:highlight w:val="none"/>
        </w:rPr>
      </w:pPr>
    </w:p>
    <w:p>
      <w:pPr>
        <w:keepLines/>
        <w:spacing w:line="240" w:lineRule="auto"/>
        <w:ind w:firstLine="0" w:firstLineChars="0"/>
        <w:jc w:val="left"/>
        <w:rPr>
          <w:rFonts w:hint="eastAsia" w:ascii="宋体" w:hAnsi="宋体" w:cs="宋体"/>
          <w:b/>
          <w:bCs/>
          <w:color w:val="auto"/>
          <w:sz w:val="18"/>
          <w:szCs w:val="18"/>
          <w:highlight w:val="none"/>
        </w:rPr>
      </w:pPr>
    </w:p>
    <w:sectPr>
      <w:headerReference r:id="rId6" w:type="first"/>
      <w:footerReference r:id="rId9" w:type="first"/>
      <w:headerReference r:id="rId4" w:type="default"/>
      <w:footerReference r:id="rId7" w:type="default"/>
      <w:headerReference r:id="rId5" w:type="even"/>
      <w:footerReference r:id="rId8" w:type="even"/>
      <w:pgSz w:w="11906" w:h="16838"/>
      <w:pgMar w:top="1020" w:right="1287" w:bottom="1134" w:left="1134" w:header="567" w:footer="567" w:gutter="0"/>
      <w:paperSrc w:first="0" w:oth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r>
      <w:rPr>
        <w:rFonts w:ascii="Calibri" w:hAnsi="Calibri" w:eastAsia="宋体" w:cs="Times New Roman"/>
        <w:kern w:val="2"/>
        <w:sz w:val="18"/>
        <w:szCs w:val="18"/>
        <w:lang w:val="en-US" w:eastAsia="zh-CN" w:bidi="ar-SA"/>
      </w:rPr>
      <w:pict>
        <v:shape id="文本框 1" o:spid="_x0000_s1025" type="#_x0000_t202" style="position:absolute;left:0;margin-top:-22.95pt;height:28pt;width:101.2pt;mso-position-horizontal:center;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21</w:t>
                </w:r>
                <w:r>
                  <w:rPr>
                    <w:rFonts w:hint="eastAsia"/>
                    <w:sz w:val="18"/>
                    <w:lang w:eastAsia="zh-CN"/>
                  </w:rPr>
                  <w:fldChar w:fldCharType="end"/>
                </w:r>
                <w:r>
                  <w:rPr>
                    <w:rFonts w:hint="eastAsia"/>
                    <w:sz w:val="18"/>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3829762">
    <w:nsid w:val="64F5CA82"/>
    <w:multiLevelType w:val="singleLevel"/>
    <w:tmpl w:val="64F5CA82"/>
    <w:lvl w:ilvl="0" w:tentative="1">
      <w:start w:val="4"/>
      <w:numFmt w:val="decimal"/>
      <w:suff w:val="nothing"/>
      <w:lvlText w:val="%1、"/>
      <w:lvlJc w:val="left"/>
    </w:lvl>
  </w:abstractNum>
  <w:abstractNum w:abstractNumId="2086684020">
    <w:nsid w:val="7C604574"/>
    <w:multiLevelType w:val="multilevel"/>
    <w:tmpl w:val="7C604574"/>
    <w:lvl w:ilvl="0" w:tentative="1">
      <w:start w:val="1"/>
      <w:numFmt w:val="bullet"/>
      <w:pStyle w:val="29"/>
      <w:lvlText w:val="‒"/>
      <w:lvlJc w:val="left"/>
      <w:pPr>
        <w:ind w:left="840" w:hanging="420"/>
      </w:pPr>
      <w:rPr>
        <w:rFonts w:hint="default" w:ascii="Arial" w:hAnsi="Arial"/>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732937705">
    <w:nsid w:val="674A87E9"/>
    <w:multiLevelType w:val="singleLevel"/>
    <w:tmpl w:val="674A87E9"/>
    <w:lvl w:ilvl="0" w:tentative="1">
      <w:start w:val="1"/>
      <w:numFmt w:val="decimal"/>
      <w:suff w:val="nothing"/>
      <w:lvlText w:val="%1、"/>
      <w:lvlJc w:val="left"/>
    </w:lvl>
  </w:abstractNum>
  <w:abstractNum w:abstractNumId="437217464">
    <w:nsid w:val="1A0F68B8"/>
    <w:multiLevelType w:val="multilevel"/>
    <w:tmpl w:val="1A0F68B8"/>
    <w:lvl w:ilvl="0" w:tentative="1">
      <w:start w:val="1"/>
      <w:numFmt w:val="decimalEnclosedCircle"/>
      <w:lvlText w:val="%1"/>
      <w:lvlJc w:val="left"/>
      <w:pPr>
        <w:ind w:left="920" w:hanging="360"/>
      </w:pPr>
      <w:rPr>
        <w:rFonts w:hint="default"/>
      </w:rPr>
    </w:lvl>
    <w:lvl w:ilvl="1" w:tentative="1">
      <w:start w:val="1"/>
      <w:numFmt w:val="lowerLetter"/>
      <w:lvlText w:val="%2)"/>
      <w:lvlJc w:val="left"/>
      <w:pPr>
        <w:ind w:left="1440" w:hanging="440"/>
      </w:pPr>
    </w:lvl>
    <w:lvl w:ilvl="2" w:tentative="1">
      <w:start w:val="1"/>
      <w:numFmt w:val="lowerRoman"/>
      <w:lvlText w:val="%3."/>
      <w:lvlJc w:val="right"/>
      <w:pPr>
        <w:ind w:left="1880" w:hanging="440"/>
      </w:pPr>
    </w:lvl>
    <w:lvl w:ilvl="3" w:tentative="1">
      <w:start w:val="1"/>
      <w:numFmt w:val="decimal"/>
      <w:lvlText w:val="%4."/>
      <w:lvlJc w:val="left"/>
      <w:pPr>
        <w:ind w:left="2320" w:hanging="440"/>
      </w:pPr>
    </w:lvl>
    <w:lvl w:ilvl="4" w:tentative="1">
      <w:start w:val="1"/>
      <w:numFmt w:val="lowerLetter"/>
      <w:lvlText w:val="%5)"/>
      <w:lvlJc w:val="left"/>
      <w:pPr>
        <w:ind w:left="2760" w:hanging="440"/>
      </w:pPr>
    </w:lvl>
    <w:lvl w:ilvl="5" w:tentative="1">
      <w:start w:val="1"/>
      <w:numFmt w:val="lowerRoman"/>
      <w:lvlText w:val="%6."/>
      <w:lvlJc w:val="right"/>
      <w:pPr>
        <w:ind w:left="3200" w:hanging="440"/>
      </w:pPr>
    </w:lvl>
    <w:lvl w:ilvl="6" w:tentative="1">
      <w:start w:val="1"/>
      <w:numFmt w:val="decimal"/>
      <w:lvlText w:val="%7."/>
      <w:lvlJc w:val="left"/>
      <w:pPr>
        <w:ind w:left="3640" w:hanging="440"/>
      </w:pPr>
    </w:lvl>
    <w:lvl w:ilvl="7" w:tentative="1">
      <w:start w:val="1"/>
      <w:numFmt w:val="lowerLetter"/>
      <w:lvlText w:val="%8)"/>
      <w:lvlJc w:val="left"/>
      <w:pPr>
        <w:ind w:left="4080" w:hanging="440"/>
      </w:pPr>
    </w:lvl>
    <w:lvl w:ilvl="8" w:tentative="1">
      <w:start w:val="1"/>
      <w:numFmt w:val="lowerRoman"/>
      <w:lvlText w:val="%9."/>
      <w:lvlJc w:val="right"/>
      <w:pPr>
        <w:ind w:left="4520" w:hanging="440"/>
      </w:pPr>
    </w:lvl>
  </w:abstractNum>
  <w:abstractNum w:abstractNumId="1512628435">
    <w:nsid w:val="5A28E0D3"/>
    <w:multiLevelType w:val="singleLevel"/>
    <w:tmpl w:val="5A28E0D3"/>
    <w:lvl w:ilvl="0" w:tentative="1">
      <w:start w:val="1"/>
      <w:numFmt w:val="decimal"/>
      <w:suff w:val="nothing"/>
      <w:lvlText w:val="%1、"/>
      <w:lvlJc w:val="left"/>
    </w:lvl>
  </w:abstractNum>
  <w:abstractNum w:abstractNumId="1693106857">
    <w:nsid w:val="64EAC2A9"/>
    <w:multiLevelType w:val="singleLevel"/>
    <w:tmpl w:val="64EAC2A9"/>
    <w:lvl w:ilvl="0" w:tentative="1">
      <w:start w:val="1"/>
      <w:numFmt w:val="chineseCounting"/>
      <w:suff w:val="nothing"/>
      <w:lvlText w:val="%1．"/>
      <w:lvlJc w:val="left"/>
    </w:lvl>
  </w:abstractNum>
  <w:abstractNum w:abstractNumId="1732346138">
    <w:nsid w:val="6741811A"/>
    <w:multiLevelType w:val="singleLevel"/>
    <w:tmpl w:val="6741811A"/>
    <w:lvl w:ilvl="0" w:tentative="1">
      <w:start w:val="1"/>
      <w:numFmt w:val="decimal"/>
      <w:suff w:val="nothing"/>
      <w:lvlText w:val="%1、"/>
      <w:lvlJc w:val="left"/>
    </w:lvl>
  </w:abstractNum>
  <w:abstractNum w:abstractNumId="1733038235">
    <w:nsid w:val="674C109B"/>
    <w:multiLevelType w:val="singleLevel"/>
    <w:tmpl w:val="674C109B"/>
    <w:lvl w:ilvl="0" w:tentative="1">
      <w:start w:val="1"/>
      <w:numFmt w:val="lowerLetter"/>
      <w:suff w:val="space"/>
      <w:lvlText w:val="%1)"/>
      <w:lvlJc w:val="left"/>
    </w:lvl>
  </w:abstractNum>
  <w:abstractNum w:abstractNumId="1733051508">
    <w:nsid w:val="674C4474"/>
    <w:multiLevelType w:val="singleLevel"/>
    <w:tmpl w:val="674C4474"/>
    <w:lvl w:ilvl="0" w:tentative="1">
      <w:start w:val="5"/>
      <w:numFmt w:val="chineseCounting"/>
      <w:suff w:val="nothing"/>
      <w:lvlText w:val="第%1条"/>
      <w:lvlJc w:val="left"/>
    </w:lvl>
  </w:abstractNum>
  <w:abstractNum w:abstractNumId="1733051552">
    <w:nsid w:val="674C44A0"/>
    <w:multiLevelType w:val="singleLevel"/>
    <w:tmpl w:val="674C44A0"/>
    <w:lvl w:ilvl="0" w:tentative="1">
      <w:start w:val="7"/>
      <w:numFmt w:val="chineseCounting"/>
      <w:suff w:val="nothing"/>
      <w:lvlText w:val="第%1条"/>
      <w:lvlJc w:val="left"/>
    </w:lvl>
  </w:abstractNum>
  <w:num w:numId="1">
    <w:abstractNumId w:val="2086684020"/>
  </w:num>
  <w:num w:numId="2">
    <w:abstractNumId w:val="1693829762"/>
  </w:num>
  <w:num w:numId="3">
    <w:abstractNumId w:val="1732937705"/>
  </w:num>
  <w:num w:numId="4">
    <w:abstractNumId w:val="1512628435"/>
  </w:num>
  <w:num w:numId="5">
    <w:abstractNumId w:val="1693106857"/>
  </w:num>
  <w:num w:numId="6">
    <w:abstractNumId w:val="1733051508"/>
  </w:num>
  <w:num w:numId="7">
    <w:abstractNumId w:val="1733051552"/>
  </w:num>
  <w:num w:numId="8">
    <w:abstractNumId w:val="437217464"/>
  </w:num>
  <w:num w:numId="9">
    <w:abstractNumId w:val="1733038235"/>
  </w:num>
  <w:num w:numId="10">
    <w:abstractNumId w:val="1732346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U4YzkyNDcxZDNmZDBhYTcyM2EzMTFlZTdmYzdhZDA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nhideWhenUsed="0" w:uiPriority="99" w:semiHidden="0" w:name="Balloon Text"/>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character" w:default="1" w:styleId="14">
    <w:name w:val="Default Paragraph Font"/>
    <w:semiHidden/>
    <w:unhideWhenUsed/>
    <w:uiPriority w:val="1"/>
  </w:style>
  <w:style w:type="paragraph" w:styleId="3">
    <w:name w:val="annotation subject"/>
    <w:basedOn w:val="4"/>
    <w:next w:val="4"/>
    <w:link w:val="52"/>
    <w:semiHidden/>
    <w:unhideWhenUsed/>
    <w:uiPriority w:val="0"/>
    <w:rPr>
      <w:b/>
      <w:bCs/>
    </w:rPr>
  </w:style>
  <w:style w:type="paragraph" w:styleId="4">
    <w:name w:val="annotation text"/>
    <w:basedOn w:val="1"/>
    <w:link w:val="51"/>
    <w:qFormat/>
    <w:uiPriority w:val="0"/>
    <w:pPr>
      <w:jc w:val="left"/>
    </w:pPr>
  </w:style>
  <w:style w:type="paragraph" w:styleId="5">
    <w:name w:val="Body Text First Indent"/>
    <w:basedOn w:val="6"/>
    <w:link w:val="44"/>
    <w:qFormat/>
    <w:uiPriority w:val="0"/>
    <w:pPr>
      <w:spacing w:before="0" w:beforeAutospacing="0"/>
      <w:ind w:firstLine="420" w:firstLineChars="100"/>
    </w:pPr>
    <w:rPr>
      <w:szCs w:val="24"/>
    </w:rPr>
  </w:style>
  <w:style w:type="paragraph" w:styleId="6">
    <w:name w:val="Body Text"/>
    <w:basedOn w:val="1"/>
    <w:next w:val="1"/>
    <w:link w:val="36"/>
    <w:unhideWhenUsed/>
    <w:qFormat/>
    <w:uiPriority w:val="99"/>
    <w:pPr>
      <w:spacing w:before="100" w:beforeAutospacing="1" w:after="120" w:line="240" w:lineRule="auto"/>
      <w:ind w:firstLine="0" w:firstLineChars="0"/>
    </w:pPr>
    <w:rPr>
      <w:rFonts w:ascii="Times New Roman" w:hAnsi="Times New Roman"/>
      <w:szCs w:val="21"/>
    </w:rPr>
  </w:style>
  <w:style w:type="paragraph" w:styleId="7">
    <w:name w:val="Normal Indent"/>
    <w:basedOn w:val="1"/>
    <w:qFormat/>
    <w:uiPriority w:val="0"/>
    <w:pPr>
      <w:ind w:firstLine="420"/>
    </w:pPr>
  </w:style>
  <w:style w:type="paragraph" w:styleId="8">
    <w:name w:val="Date"/>
    <w:basedOn w:val="1"/>
    <w:next w:val="1"/>
    <w:link w:val="49"/>
    <w:semiHidden/>
    <w:unhideWhenUsed/>
    <w:qFormat/>
    <w:uiPriority w:val="0"/>
    <w:pPr>
      <w:ind w:left="100" w:leftChars="2500"/>
    </w:pPr>
  </w:style>
  <w:style w:type="paragraph" w:styleId="9">
    <w:name w:val="Balloon Text"/>
    <w:basedOn w:val="1"/>
    <w:link w:val="37"/>
    <w:qFormat/>
    <w:uiPriority w:val="99"/>
    <w:rPr>
      <w:sz w:val="18"/>
      <w:szCs w:val="18"/>
    </w:rPr>
  </w:style>
  <w:style w:type="paragraph" w:styleId="10">
    <w:name w:val="footer"/>
    <w:basedOn w:val="1"/>
    <w:link w:val="34"/>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3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semiHidden/>
    <w:unhideWhenUsed/>
    <w:qFormat/>
    <w:uiPriority w:val="0"/>
    <w:pPr>
      <w:spacing w:line="360" w:lineRule="auto"/>
    </w:pPr>
    <w:rPr>
      <w:sz w:val="24"/>
    </w:rPr>
  </w:style>
  <w:style w:type="paragraph" w:styleId="13">
    <w:name w:val="Normal (Web)"/>
    <w:basedOn w:val="1"/>
    <w:qFormat/>
    <w:uiPriority w:val="99"/>
    <w:pPr>
      <w:widowControl/>
      <w:spacing w:before="100" w:beforeAutospacing="1" w:after="119"/>
      <w:jc w:val="left"/>
    </w:pPr>
    <w:rPr>
      <w:rFonts w:ascii="宋体" w:hAnsi="宋体" w:cs="宋体"/>
      <w:kern w:val="0"/>
      <w:sz w:val="24"/>
      <w:szCs w:val="24"/>
    </w:rPr>
  </w:style>
  <w:style w:type="character" w:styleId="15">
    <w:name w:val="page number"/>
    <w:basedOn w:val="14"/>
    <w:semiHidden/>
    <w:unhideWhenUsed/>
    <w:qFormat/>
    <w:uiPriority w:val="0"/>
    <w:rPr/>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styleId="18">
    <w:name w:val="annotation reference"/>
    <w:semiHidden/>
    <w:unhideWhenUsed/>
    <w:uiPriority w:val="0"/>
    <w:rPr>
      <w:sz w:val="21"/>
      <w:szCs w:val="21"/>
    </w:rPr>
  </w:style>
  <w:style w:type="paragraph" w:customStyle="1" w:styleId="19">
    <w:name w:val="正文文本首行缩进1"/>
    <w:qFormat/>
    <w:uiPriority w:val="0"/>
    <w:pPr>
      <w:widowControl w:val="0"/>
      <w:spacing w:after="120"/>
      <w:ind w:firstLine="420"/>
      <w:jc w:val="both"/>
    </w:pPr>
  </w:style>
  <w:style w:type="paragraph" w:customStyle="1" w:styleId="20">
    <w:name w:val="Default"/>
    <w:unhideWhenUsed/>
    <w:qFormat/>
    <w:uiPriority w:val="99"/>
    <w:pPr>
      <w:widowControl w:val="0"/>
      <w:autoSpaceDE w:val="0"/>
      <w:autoSpaceDN w:val="0"/>
      <w:adjustRightInd w:val="0"/>
    </w:pPr>
    <w:rPr>
      <w:rFonts w:ascii="宋体" w:hAnsi="宋体"/>
      <w:color w:val="000000"/>
      <w:sz w:val="24"/>
    </w:rPr>
  </w:style>
  <w:style w:type="paragraph" w:customStyle="1" w:styleId="21">
    <w:name w:val="Char1"/>
    <w:basedOn w:val="1"/>
    <w:qFormat/>
    <w:uiPriority w:val="0"/>
    <w:pPr>
      <w:widowControl/>
      <w:spacing w:after="160" w:line="240" w:lineRule="exact"/>
      <w:jc w:val="left"/>
    </w:pPr>
    <w:rPr>
      <w:rFonts w:ascii="Times New Roman"/>
      <w:szCs w:val="20"/>
    </w:rPr>
  </w:style>
  <w:style w:type="paragraph" w:customStyle="1" w:styleId="22">
    <w:name w:val="_Style 3"/>
    <w:basedOn w:val="1"/>
    <w:qFormat/>
    <w:uiPriority w:val="34"/>
    <w:pPr>
      <w:spacing w:line="240" w:lineRule="auto"/>
      <w:ind w:firstLine="420"/>
    </w:pPr>
    <w:rPr>
      <w:rFonts w:ascii="等线" w:hAnsi="等线" w:eastAsia="等线"/>
    </w:rPr>
  </w:style>
  <w:style w:type="paragraph" w:customStyle="1" w:styleId="23">
    <w:name w:val="列出段落1"/>
    <w:basedOn w:val="1"/>
    <w:qFormat/>
    <w:uiPriority w:val="1"/>
    <w:pPr>
      <w:spacing w:line="240" w:lineRule="auto"/>
      <w:ind w:firstLine="420"/>
    </w:pPr>
    <w:rPr>
      <w:rFonts w:ascii="等线" w:hAnsi="等线" w:eastAsia="等线"/>
    </w:rPr>
  </w:style>
  <w:style w:type="paragraph" w:customStyle="1" w:styleId="24">
    <w:name w:val="Char"/>
    <w:basedOn w:val="1"/>
    <w:qFormat/>
    <w:uiPriority w:val="0"/>
    <w:pPr>
      <w:spacing w:line="360" w:lineRule="auto"/>
      <w:ind w:firstLine="0" w:firstLineChars="0"/>
    </w:pPr>
    <w:rPr>
      <w:rFonts w:ascii="宋体" w:hAnsi="宋体"/>
      <w:sz w:val="22"/>
      <w:szCs w:val="24"/>
    </w:rPr>
  </w:style>
  <w:style w:type="paragraph" w:customStyle="1" w:styleId="25">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26">
    <w:name w:val="Table caption|1"/>
    <w:basedOn w:val="1"/>
    <w:qFormat/>
    <w:uiPriority w:val="0"/>
    <w:pPr>
      <w:spacing w:line="240" w:lineRule="auto"/>
      <w:ind w:firstLine="0" w:firstLineChars="0"/>
    </w:pPr>
    <w:rPr>
      <w:rFonts w:ascii="宋体" w:hAnsi="宋体" w:cs="宋体"/>
      <w:sz w:val="20"/>
      <w:szCs w:val="20"/>
    </w:rPr>
  </w:style>
  <w:style w:type="paragraph" w:customStyle="1" w:styleId="27">
    <w:name w:val="列出段落11"/>
    <w:basedOn w:val="1"/>
    <w:qFormat/>
    <w:uiPriority w:val="34"/>
    <w:pPr>
      <w:spacing w:line="240" w:lineRule="auto"/>
      <w:ind w:firstLine="420"/>
    </w:pPr>
    <w:rPr>
      <w:rFonts w:ascii="Times New Roman" w:hAnsi="Times New Roman"/>
      <w:szCs w:val="24"/>
    </w:rPr>
  </w:style>
  <w:style w:type="paragraph" w:customStyle="1" w:styleId="28">
    <w:name w:val="列表段落1"/>
    <w:basedOn w:val="1"/>
    <w:qFormat/>
    <w:uiPriority w:val="34"/>
    <w:pPr>
      <w:ind w:firstLine="420"/>
    </w:pPr>
  </w:style>
  <w:style w:type="paragraph" w:customStyle="1" w:styleId="29">
    <w:name w:val="- 缩进1"/>
    <w:basedOn w:val="28"/>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30">
    <w:name w:val="列表段落2"/>
    <w:basedOn w:val="1"/>
    <w:qFormat/>
    <w:uiPriority w:val="34"/>
    <w:pPr>
      <w:ind w:firstLine="420"/>
    </w:pPr>
  </w:style>
  <w:style w:type="paragraph" w:customStyle="1" w:styleId="31">
    <w:name w:val="列表段落3"/>
    <w:basedOn w:val="1"/>
    <w:qFormat/>
    <w:uiPriority w:val="34"/>
    <w:pPr>
      <w:ind w:firstLine="420"/>
    </w:pPr>
  </w:style>
  <w:style w:type="paragraph" w:customStyle="1" w:styleId="32">
    <w:name w:val="正文文本首行缩进2"/>
    <w:qFormat/>
    <w:uiPriority w:val="0"/>
    <w:pPr>
      <w:widowControl w:val="0"/>
      <w:spacing w:after="120"/>
      <w:ind w:firstLine="420"/>
      <w:jc w:val="both"/>
    </w:pPr>
  </w:style>
  <w:style w:type="paragraph" w:customStyle="1" w:styleId="33">
    <w:name w:val="列表段落4"/>
    <w:basedOn w:val="1"/>
    <w:unhideWhenUsed/>
    <w:uiPriority w:val="99"/>
    <w:pPr>
      <w:ind w:firstLine="420"/>
    </w:pPr>
  </w:style>
  <w:style w:type="character" w:customStyle="1" w:styleId="34">
    <w:name w:val="页脚 Char"/>
    <w:link w:val="10"/>
    <w:qFormat/>
    <w:uiPriority w:val="99"/>
    <w:rPr>
      <w:rFonts w:ascii="Calibri" w:hAnsi="Calibri"/>
      <w:kern w:val="2"/>
      <w:sz w:val="18"/>
      <w:szCs w:val="18"/>
    </w:rPr>
  </w:style>
  <w:style w:type="character" w:customStyle="1" w:styleId="35">
    <w:name w:val="页眉 Char"/>
    <w:link w:val="11"/>
    <w:qFormat/>
    <w:uiPriority w:val="99"/>
    <w:rPr>
      <w:rFonts w:ascii="Calibri" w:hAnsi="Calibri"/>
      <w:kern w:val="2"/>
      <w:sz w:val="18"/>
      <w:szCs w:val="18"/>
    </w:rPr>
  </w:style>
  <w:style w:type="character" w:customStyle="1" w:styleId="36">
    <w:name w:val="正文文本 Char1"/>
    <w:link w:val="6"/>
    <w:qFormat/>
    <w:uiPriority w:val="99"/>
    <w:rPr>
      <w:kern w:val="2"/>
      <w:sz w:val="21"/>
      <w:szCs w:val="21"/>
    </w:rPr>
  </w:style>
  <w:style w:type="character" w:customStyle="1" w:styleId="37">
    <w:name w:val="批注框文本 Char"/>
    <w:link w:val="9"/>
    <w:qFormat/>
    <w:uiPriority w:val="99"/>
    <w:rPr>
      <w:rFonts w:ascii="Calibri" w:hAnsi="Calibri"/>
      <w:kern w:val="2"/>
      <w:sz w:val="18"/>
      <w:szCs w:val="18"/>
    </w:rPr>
  </w:style>
  <w:style w:type="character" w:customStyle="1" w:styleId="38">
    <w:name w:val="页眉 字符1"/>
    <w:qFormat/>
    <w:uiPriority w:val="99"/>
    <w:rPr>
      <w:rFonts w:ascii="等线" w:hAnsi="等线" w:eastAsia="等线" w:cs="Times New Roman"/>
      <w:kern w:val="0"/>
      <w:sz w:val="18"/>
      <w:szCs w:val="18"/>
    </w:rPr>
  </w:style>
  <w:style w:type="character" w:customStyle="1" w:styleId="39">
    <w:name w:val="页脚 字符1"/>
    <w:qFormat/>
    <w:uiPriority w:val="99"/>
    <w:rPr>
      <w:rFonts w:ascii="等线" w:hAnsi="等线" w:eastAsia="等线" w:cs="Times New Roman"/>
      <w:kern w:val="0"/>
      <w:sz w:val="18"/>
      <w:szCs w:val="18"/>
    </w:rPr>
  </w:style>
  <w:style w:type="character" w:customStyle="1" w:styleId="40">
    <w:name w:val="正文文本 Char"/>
    <w:semiHidden/>
    <w:qFormat/>
    <w:uiPriority w:val="99"/>
    <w:rPr>
      <w:rFonts w:ascii="等线" w:hAnsi="等线" w:eastAsia="等线" w:cs="Times New Roman"/>
    </w:rPr>
  </w:style>
  <w:style w:type="character" w:customStyle="1" w:styleId="41">
    <w:name w:val="10"/>
    <w:qFormat/>
    <w:uiPriority w:val="0"/>
    <w:rPr>
      <w:rFonts w:hint="default" w:ascii="Times New Roman" w:hAnsi="Times New Roman" w:cs="Times New Roman"/>
    </w:rPr>
  </w:style>
  <w:style w:type="character" w:customStyle="1" w:styleId="42">
    <w:name w:val="15"/>
    <w:qFormat/>
    <w:uiPriority w:val="0"/>
    <w:rPr>
      <w:rFonts w:hint="eastAsia" w:ascii="宋体" w:hAnsi="宋体" w:eastAsia="宋体"/>
      <w:color w:val="000000"/>
      <w:sz w:val="21"/>
      <w:szCs w:val="21"/>
    </w:rPr>
  </w:style>
  <w:style w:type="character" w:customStyle="1" w:styleId="43">
    <w:name w:val="标题 1 Char"/>
    <w:link w:val="2"/>
    <w:qFormat/>
    <w:uiPriority w:val="0"/>
    <w:rPr>
      <w:b/>
      <w:bCs/>
      <w:sz w:val="24"/>
      <w:szCs w:val="24"/>
    </w:rPr>
  </w:style>
  <w:style w:type="character" w:customStyle="1" w:styleId="44">
    <w:name w:val="正文首行缩进 Char"/>
    <w:link w:val="5"/>
    <w:qFormat/>
    <w:uiPriority w:val="0"/>
    <w:rPr>
      <w:kern w:val="2"/>
      <w:sz w:val="21"/>
      <w:szCs w:val="24"/>
    </w:rPr>
  </w:style>
  <w:style w:type="character" w:customStyle="1" w:styleId="45">
    <w:name w:val="font21"/>
    <w:qFormat/>
    <w:uiPriority w:val="0"/>
    <w:rPr>
      <w:rFonts w:hint="eastAsia" w:ascii="宋体" w:hAnsi="宋体" w:eastAsia="宋体" w:cs="宋体"/>
      <w:color w:val="FF0000"/>
      <w:sz w:val="24"/>
      <w:szCs w:val="24"/>
    </w:rPr>
  </w:style>
  <w:style w:type="character" w:customStyle="1" w:styleId="46">
    <w:name w:val="font01"/>
    <w:qFormat/>
    <w:uiPriority w:val="0"/>
    <w:rPr>
      <w:rFonts w:ascii="Arial" w:hAnsi="Arial" w:cs="Arial"/>
      <w:color w:val="FF0000"/>
      <w:sz w:val="24"/>
      <w:szCs w:val="24"/>
    </w:rPr>
  </w:style>
  <w:style w:type="character" w:customStyle="1" w:styleId="47">
    <w:name w:val="font41"/>
    <w:qFormat/>
    <w:uiPriority w:val="0"/>
    <w:rPr>
      <w:rFonts w:hint="eastAsia" w:ascii="宋体" w:hAnsi="宋体" w:eastAsia="宋体" w:cs="宋体"/>
      <w:color w:val="000000"/>
      <w:sz w:val="24"/>
      <w:szCs w:val="24"/>
    </w:rPr>
  </w:style>
  <w:style w:type="character" w:customStyle="1" w:styleId="48">
    <w:name w:val="font31"/>
    <w:qFormat/>
    <w:uiPriority w:val="0"/>
    <w:rPr>
      <w:rFonts w:hint="eastAsia" w:ascii="宋体" w:hAnsi="宋体" w:eastAsia="宋体" w:cs="宋体"/>
      <w:color w:val="000000"/>
      <w:sz w:val="24"/>
      <w:szCs w:val="24"/>
    </w:rPr>
  </w:style>
  <w:style w:type="character" w:customStyle="1" w:styleId="49">
    <w:name w:val="日期 Char"/>
    <w:link w:val="8"/>
    <w:semiHidden/>
    <w:qFormat/>
    <w:uiPriority w:val="0"/>
    <w:rPr>
      <w:rFonts w:ascii="Calibri" w:hAnsi="Calibri"/>
      <w:kern w:val="2"/>
      <w:sz w:val="21"/>
      <w:szCs w:val="22"/>
    </w:rPr>
  </w:style>
  <w:style w:type="character" w:customStyle="1" w:styleId="50">
    <w:name w:val="font11"/>
    <w:qFormat/>
    <w:uiPriority w:val="0"/>
    <w:rPr>
      <w:rFonts w:hint="eastAsia" w:ascii="宋体" w:hAnsi="宋体" w:eastAsia="宋体" w:cs="宋体"/>
      <w:color w:val="000000"/>
      <w:sz w:val="21"/>
      <w:szCs w:val="21"/>
    </w:rPr>
  </w:style>
  <w:style w:type="character" w:customStyle="1" w:styleId="51">
    <w:name w:val="批注文字 Char"/>
    <w:link w:val="4"/>
    <w:uiPriority w:val="0"/>
    <w:rPr>
      <w:rFonts w:ascii="Calibri" w:hAnsi="Calibri"/>
      <w:kern w:val="2"/>
      <w:sz w:val="21"/>
      <w:szCs w:val="22"/>
    </w:rPr>
  </w:style>
  <w:style w:type="character" w:customStyle="1" w:styleId="52">
    <w:name w:val="批注主题 Char"/>
    <w:link w:val="3"/>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png"/><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Template>
  <Company>MS</Company>
  <Pages>52</Pages>
  <Words>4989</Words>
  <Characters>28438</Characters>
  <Lines>236</Lines>
  <Paragraphs>66</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2024-12-02T10:18:00Z</dcterms:created>
  <dc:creator>Administrator</dc:creator>
  <cp:lastModifiedBy>dj-sh</cp:lastModifiedBy>
  <cp:lastPrinted>2022-09-15T07:53:00Z</cp:lastPrinted>
  <dcterms:modified xsi:type="dcterms:W3CDTF">2024-12-03T03:21:04Z</dcterms:modified>
  <dc:title>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y fmtid="{D5CDD505-2E9C-101B-9397-08002B2CF9AE}" pid="3" name="ICV">
    <vt:lpwstr>5B83353CFDF94CF6908CD3FC6C0E3AD0</vt:lpwstr>
  </property>
</Properties>
</file>